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6EBB31">
      <w:pPr>
        <w:widowControl w:val="0"/>
        <w:ind w:firstLine="0" w:firstLineChars="0"/>
        <w:jc w:val="center"/>
        <w:rPr>
          <w:rFonts w:hint="eastAsia" w:eastAsia="方正小标宋_GBK" w:cs="Times New Roman"/>
          <w:sz w:val="48"/>
          <w:szCs w:val="48"/>
        </w:rPr>
      </w:pPr>
      <w:bookmarkStart w:id="0" w:name="_Hlk149229977"/>
    </w:p>
    <w:p w14:paraId="400010FD">
      <w:pPr>
        <w:widowControl w:val="0"/>
        <w:ind w:firstLine="0" w:firstLineChars="0"/>
        <w:jc w:val="center"/>
        <w:rPr>
          <w:rFonts w:hint="eastAsia" w:eastAsia="方正小标宋_GBK" w:cs="Times New Roman"/>
          <w:sz w:val="48"/>
          <w:szCs w:val="48"/>
        </w:rPr>
      </w:pPr>
    </w:p>
    <w:p w14:paraId="4EB4807C">
      <w:pPr>
        <w:widowControl w:val="0"/>
        <w:ind w:firstLine="0" w:firstLineChars="0"/>
        <w:jc w:val="center"/>
        <w:rPr>
          <w:rFonts w:hint="eastAsia" w:eastAsia="方正小标宋_GBK" w:cs="Times New Roman"/>
          <w:sz w:val="48"/>
          <w:szCs w:val="48"/>
        </w:rPr>
      </w:pPr>
    </w:p>
    <w:p w14:paraId="43F2093B">
      <w:pPr>
        <w:widowControl w:val="0"/>
        <w:ind w:firstLine="0" w:firstLineChars="0"/>
        <w:jc w:val="center"/>
        <w:rPr>
          <w:rFonts w:hint="eastAsia" w:eastAsia="方正小标宋_GBK" w:cs="Times New Roman"/>
          <w:sz w:val="48"/>
          <w:szCs w:val="48"/>
        </w:rPr>
      </w:pPr>
      <w:r>
        <w:rPr>
          <w:rFonts w:hint="eastAsia" w:eastAsia="方正小标宋_GBK" w:cs="Times New Roman"/>
          <w:sz w:val="48"/>
          <w:szCs w:val="48"/>
          <w:lang w:val="en-US" w:eastAsia="zh-CN"/>
        </w:rPr>
        <w:t>国家</w:t>
      </w:r>
      <w:r>
        <w:rPr>
          <w:rFonts w:hint="eastAsia" w:eastAsia="方正小标宋_GBK" w:cs="Times New Roman"/>
          <w:sz w:val="48"/>
          <w:szCs w:val="48"/>
        </w:rPr>
        <w:t>碳达峰试点</w:t>
      </w:r>
    </w:p>
    <w:p w14:paraId="11DE52EB">
      <w:pPr>
        <w:widowControl w:val="0"/>
        <w:ind w:firstLine="0" w:firstLineChars="0"/>
        <w:jc w:val="center"/>
        <w:rPr>
          <w:rFonts w:eastAsia="方正小标宋_GBK" w:cs="Times New Roman"/>
          <w:sz w:val="48"/>
          <w:szCs w:val="48"/>
        </w:rPr>
      </w:pPr>
      <w:r>
        <w:rPr>
          <w:rFonts w:hint="eastAsia" w:eastAsia="方正小标宋_GBK" w:cs="Times New Roman"/>
          <w:sz w:val="48"/>
          <w:szCs w:val="48"/>
          <w:lang w:eastAsia="zh-CN"/>
        </w:rPr>
        <w:t>（石河子</w:t>
      </w:r>
      <w:r>
        <w:rPr>
          <w:rFonts w:hint="eastAsia" w:eastAsia="方正小标宋_GBK" w:cs="Times New Roman"/>
          <w:sz w:val="48"/>
          <w:szCs w:val="48"/>
        </w:rPr>
        <w:t>经济技术开发区</w:t>
      </w:r>
      <w:r>
        <w:rPr>
          <w:rFonts w:hint="eastAsia" w:eastAsia="方正小标宋_GBK" w:cs="Times New Roman"/>
          <w:sz w:val="48"/>
          <w:szCs w:val="48"/>
          <w:lang w:eastAsia="zh-CN"/>
        </w:rPr>
        <w:t>）</w:t>
      </w:r>
      <w:r>
        <w:rPr>
          <w:rFonts w:hint="eastAsia" w:eastAsia="方正小标宋_GBK" w:cs="Times New Roman"/>
          <w:sz w:val="48"/>
          <w:szCs w:val="48"/>
        </w:rPr>
        <w:t>实施方案</w:t>
      </w:r>
    </w:p>
    <w:p w14:paraId="2E98A4E8">
      <w:pPr>
        <w:widowControl w:val="0"/>
        <w:ind w:firstLine="640"/>
        <w:rPr>
          <w:rFonts w:cs="Times New Roman"/>
          <w:szCs w:val="32"/>
        </w:rPr>
      </w:pPr>
    </w:p>
    <w:p w14:paraId="2341A3FA">
      <w:pPr>
        <w:widowControl w:val="0"/>
        <w:ind w:firstLine="640"/>
        <w:rPr>
          <w:rFonts w:cs="Times New Roman"/>
          <w:szCs w:val="32"/>
        </w:rPr>
      </w:pPr>
    </w:p>
    <w:p w14:paraId="56AA8A1C">
      <w:pPr>
        <w:widowControl w:val="0"/>
        <w:ind w:firstLine="640"/>
        <w:rPr>
          <w:rFonts w:cs="Times New Roman"/>
          <w:szCs w:val="32"/>
        </w:rPr>
      </w:pPr>
    </w:p>
    <w:p w14:paraId="38D22D99">
      <w:pPr>
        <w:widowControl w:val="0"/>
        <w:ind w:firstLine="640"/>
        <w:rPr>
          <w:rFonts w:cs="Times New Roman"/>
          <w:szCs w:val="32"/>
        </w:rPr>
      </w:pPr>
    </w:p>
    <w:p w14:paraId="690B16A7">
      <w:pPr>
        <w:widowControl w:val="0"/>
        <w:ind w:firstLine="640"/>
        <w:rPr>
          <w:rFonts w:cs="Times New Roman"/>
          <w:szCs w:val="32"/>
        </w:rPr>
      </w:pPr>
    </w:p>
    <w:p w14:paraId="1391E62C">
      <w:pPr>
        <w:widowControl w:val="0"/>
        <w:ind w:firstLine="640"/>
        <w:rPr>
          <w:rFonts w:cs="Times New Roman"/>
          <w:szCs w:val="32"/>
        </w:rPr>
      </w:pPr>
    </w:p>
    <w:p w14:paraId="6563F7A1">
      <w:pPr>
        <w:widowControl w:val="0"/>
        <w:ind w:firstLine="640"/>
        <w:rPr>
          <w:rFonts w:cs="Times New Roman"/>
          <w:szCs w:val="32"/>
        </w:rPr>
      </w:pPr>
    </w:p>
    <w:p w14:paraId="33A1FDF2">
      <w:pPr>
        <w:widowControl w:val="0"/>
        <w:ind w:firstLine="640"/>
        <w:rPr>
          <w:rFonts w:cs="Times New Roman"/>
          <w:szCs w:val="32"/>
        </w:rPr>
      </w:pPr>
    </w:p>
    <w:p w14:paraId="7F3ABA53">
      <w:pPr>
        <w:widowControl w:val="0"/>
        <w:ind w:firstLine="640"/>
        <w:rPr>
          <w:rFonts w:cs="Times New Roman"/>
          <w:szCs w:val="32"/>
        </w:rPr>
      </w:pPr>
    </w:p>
    <w:p w14:paraId="4D644183">
      <w:pPr>
        <w:widowControl w:val="0"/>
        <w:ind w:firstLine="640"/>
        <w:rPr>
          <w:rFonts w:cs="Times New Roman"/>
          <w:szCs w:val="32"/>
        </w:rPr>
      </w:pPr>
    </w:p>
    <w:p w14:paraId="54F03E3B">
      <w:pPr>
        <w:widowControl w:val="0"/>
        <w:ind w:firstLine="0" w:firstLineChars="0"/>
        <w:jc w:val="center"/>
        <w:rPr>
          <w:rFonts w:eastAsia="黑体" w:cs="Times New Roman"/>
          <w:szCs w:val="32"/>
        </w:rPr>
      </w:pPr>
      <w:r>
        <w:rPr>
          <w:rFonts w:hint="eastAsia" w:eastAsia="黑体" w:cs="Times New Roman"/>
          <w:szCs w:val="32"/>
          <w:lang w:eastAsia="zh-CN"/>
        </w:rPr>
        <w:t>石河子</w:t>
      </w:r>
      <w:r>
        <w:rPr>
          <w:rFonts w:hint="eastAsia" w:eastAsia="黑体" w:cs="Times New Roman"/>
          <w:szCs w:val="32"/>
        </w:rPr>
        <w:t>经济技术开发区管理委员会</w:t>
      </w:r>
    </w:p>
    <w:p w14:paraId="21720717">
      <w:pPr>
        <w:widowControl w:val="0"/>
        <w:ind w:firstLine="0" w:firstLineChars="0"/>
        <w:jc w:val="center"/>
        <w:rPr>
          <w:rFonts w:eastAsia="黑体" w:cs="Times New Roman"/>
          <w:szCs w:val="32"/>
        </w:rPr>
        <w:sectPr>
          <w:footerReference r:id="rId5" w:type="default"/>
          <w:pgSz w:w="11906" w:h="16838"/>
          <w:pgMar w:top="2098" w:right="1474" w:bottom="1985" w:left="1588" w:header="851" w:footer="992" w:gutter="0"/>
          <w:cols w:space="425" w:num="1"/>
          <w:docGrid w:type="linesAndChars" w:linePitch="312" w:charSpace="0"/>
        </w:sectPr>
      </w:pPr>
      <w:r>
        <w:rPr>
          <w:rFonts w:eastAsia="黑体" w:cs="Times New Roman"/>
          <w:szCs w:val="32"/>
        </w:rPr>
        <w:t>202</w:t>
      </w:r>
      <w:r>
        <w:rPr>
          <w:rFonts w:hint="eastAsia" w:eastAsia="黑体" w:cs="Times New Roman"/>
          <w:szCs w:val="32"/>
          <w:lang w:val="en-US" w:eastAsia="zh-CN"/>
        </w:rPr>
        <w:t>5</w:t>
      </w:r>
      <w:r>
        <w:rPr>
          <w:rFonts w:eastAsia="黑体" w:cs="Times New Roman"/>
          <w:szCs w:val="32"/>
        </w:rPr>
        <w:t>年</w:t>
      </w:r>
      <w:r>
        <w:rPr>
          <w:rFonts w:hint="eastAsia" w:eastAsia="黑体" w:cs="Times New Roman"/>
          <w:szCs w:val="32"/>
          <w:highlight w:val="none"/>
          <w:lang w:val="en-US" w:eastAsia="zh-CN"/>
        </w:rPr>
        <w:t>9</w:t>
      </w:r>
      <w:r>
        <w:rPr>
          <w:rFonts w:eastAsia="黑体" w:cs="Times New Roman"/>
          <w:szCs w:val="32"/>
          <w:highlight w:val="none"/>
        </w:rPr>
        <w:t>月</w:t>
      </w:r>
    </w:p>
    <w:p w14:paraId="2D6E8624">
      <w:pPr>
        <w:pStyle w:val="2"/>
        <w:ind w:firstLine="0" w:firstLineChars="0"/>
        <w:jc w:val="center"/>
        <w:rPr>
          <w:rFonts w:hint="default"/>
          <w:highlight w:val="none"/>
          <w:lang w:val="en-US"/>
        </w:rPr>
      </w:pPr>
      <w:bookmarkStart w:id="1" w:name="_Toc15334"/>
      <w:bookmarkStart w:id="2" w:name="_Toc138"/>
      <w:bookmarkStart w:id="3" w:name="_Toc140"/>
      <w:bookmarkStart w:id="4" w:name="_Toc30009"/>
      <w:r>
        <w:rPr>
          <w:rFonts w:hint="eastAsia"/>
          <w:highlight w:val="none"/>
          <w:lang w:val="en-US" w:eastAsia="zh-CN"/>
        </w:rPr>
        <w:t>概  述</w:t>
      </w:r>
      <w:bookmarkEnd w:id="1"/>
      <w:bookmarkEnd w:id="2"/>
      <w:bookmarkEnd w:id="3"/>
      <w:bookmarkEnd w:id="4"/>
    </w:p>
    <w:p w14:paraId="27DE066C">
      <w:pPr>
        <w:widowControl w:val="0"/>
        <w:ind w:firstLine="0" w:firstLineChars="0"/>
        <w:jc w:val="center"/>
        <w:rPr>
          <w:rFonts w:hint="eastAsia" w:eastAsia="黑体" w:cs="Times New Roman"/>
          <w:sz w:val="36"/>
          <w:szCs w:val="36"/>
          <w:highlight w:val="none"/>
        </w:rPr>
      </w:pPr>
    </w:p>
    <w:p w14:paraId="45BC09B1">
      <w:pPr>
        <w:ind w:firstLine="640"/>
        <w:rPr>
          <w:rFonts w:hint="eastAsia"/>
          <w:highlight w:val="none"/>
        </w:rPr>
      </w:pPr>
      <w:r>
        <w:rPr>
          <w:rFonts w:hint="eastAsia"/>
          <w:highlight w:val="none"/>
          <w:lang w:eastAsia="zh-CN"/>
        </w:rPr>
        <w:t>石河子</w:t>
      </w:r>
      <w:r>
        <w:rPr>
          <w:rFonts w:hint="eastAsia"/>
          <w:highlight w:val="none"/>
        </w:rPr>
        <w:t>经济技术开发区（</w:t>
      </w:r>
      <w:r>
        <w:rPr>
          <w:highlight w:val="none"/>
        </w:rPr>
        <w:t>以下简称“</w:t>
      </w:r>
      <w:r>
        <w:rPr>
          <w:rFonts w:hint="eastAsia"/>
          <w:highlight w:val="none"/>
          <w:lang w:eastAsia="zh-CN"/>
        </w:rPr>
        <w:t>石河子</w:t>
      </w:r>
      <w:r>
        <w:rPr>
          <w:highlight w:val="none"/>
        </w:rPr>
        <w:t>经开区</w:t>
      </w:r>
      <w:r>
        <w:rPr>
          <w:rFonts w:hint="eastAsia"/>
          <w:highlight w:val="none"/>
        </w:rPr>
        <w:t>”）是离中亚市场较近的国家级开发区之一</w:t>
      </w:r>
      <w:r>
        <w:rPr>
          <w:rFonts w:hint="eastAsia"/>
          <w:highlight w:val="none"/>
          <w:lang w:eastAsia="zh-CN"/>
        </w:rPr>
        <w:t>，</w:t>
      </w:r>
      <w:r>
        <w:rPr>
          <w:rFonts w:hint="eastAsia"/>
          <w:highlight w:val="none"/>
        </w:rPr>
        <w:t>于1992年经自治区人民政府批准设立，2000年4月经国务院批准升格为国家级经济技术开发区</w:t>
      </w:r>
      <w:r>
        <w:rPr>
          <w:rFonts w:hint="eastAsia"/>
          <w:highlight w:val="none"/>
          <w:lang w:eastAsia="zh-CN"/>
        </w:rPr>
        <w:t>。</w:t>
      </w:r>
      <w:r>
        <w:rPr>
          <w:rFonts w:hint="eastAsia"/>
          <w:highlight w:val="none"/>
        </w:rPr>
        <w:t>以打造“兵团千亿园区、北疆科技创新中心、丝绸之路经济带北通道枢纽”为战略目标，石河子经开区通过系统集成改革攻坚、创新要素靶向集聚，高质量发展</w:t>
      </w:r>
      <w:r>
        <w:rPr>
          <w:rFonts w:hint="eastAsia"/>
          <w:highlight w:val="none"/>
          <w:lang w:val="en-US" w:eastAsia="zh-CN"/>
        </w:rPr>
        <w:t>不断</w:t>
      </w:r>
      <w:r>
        <w:rPr>
          <w:rFonts w:hint="eastAsia"/>
          <w:highlight w:val="none"/>
        </w:rPr>
        <w:t>迈上新台阶。2024年，在全国229家国家级经开区中，石河子经开区综合发展水平排名全国第59位，连续三年排名西部第9位、全疆第一。</w:t>
      </w:r>
    </w:p>
    <w:p w14:paraId="0FEF35E9">
      <w:pPr>
        <w:ind w:firstLine="640"/>
        <w:rPr>
          <w:rFonts w:hint="eastAsia" w:eastAsia="仿宋_GB2312"/>
          <w:highlight w:val="none"/>
          <w:lang w:eastAsia="zh-CN"/>
        </w:rPr>
      </w:pPr>
      <w:r>
        <w:rPr>
          <w:rFonts w:hint="eastAsia"/>
          <w:highlight w:val="none"/>
        </w:rPr>
        <w:t>近年来，石河子经开区深入践行绿色发展理念，坚定不移走绿色化、低碳化的高质量发展之路</w:t>
      </w:r>
      <w:r>
        <w:rPr>
          <w:rFonts w:hint="eastAsia"/>
          <w:highlight w:val="none"/>
          <w:lang w:eastAsia="zh-CN"/>
        </w:rPr>
        <w:t>，</w:t>
      </w:r>
      <w:r>
        <w:rPr>
          <w:rFonts w:hint="eastAsia"/>
          <w:highlight w:val="none"/>
        </w:rPr>
        <w:t>先后荣获“中国棉纺织名城”“国家加工贸易梯度转移承接地”“国家新型工业化示范基地”“国家级双创示范基地”“国家循环化改造示范基地”等荣誉称号</w:t>
      </w:r>
      <w:r>
        <w:rPr>
          <w:rFonts w:hint="eastAsia"/>
          <w:highlight w:val="none"/>
          <w:lang w:eastAsia="zh-CN"/>
        </w:rPr>
        <w:t>。</w:t>
      </w:r>
    </w:p>
    <w:p w14:paraId="3EA6F4B6">
      <w:pPr>
        <w:pStyle w:val="3"/>
        <w:ind w:firstLine="640"/>
        <w:rPr>
          <w:highlight w:val="none"/>
        </w:rPr>
      </w:pPr>
      <w:bookmarkStart w:id="5" w:name="_Toc4301"/>
      <w:bookmarkStart w:id="6" w:name="_Toc5471"/>
      <w:bookmarkStart w:id="7" w:name="_Toc13308"/>
      <w:bookmarkStart w:id="8" w:name="_Toc14657"/>
      <w:r>
        <w:rPr>
          <w:rFonts w:hint="eastAsia"/>
          <w:highlight w:val="none"/>
        </w:rPr>
        <w:t>（一）石河子经开区推动碳达峰试点工作的优势和意义</w:t>
      </w:r>
      <w:bookmarkEnd w:id="5"/>
      <w:bookmarkEnd w:id="6"/>
      <w:bookmarkEnd w:id="7"/>
      <w:bookmarkEnd w:id="8"/>
    </w:p>
    <w:p w14:paraId="084A99F2">
      <w:pPr>
        <w:widowControl/>
        <w:ind w:firstLine="640" w:firstLineChars="0"/>
        <w:jc w:val="left"/>
        <w:rPr>
          <w:rFonts w:hint="eastAsia" w:eastAsia="仿宋_GB2312"/>
          <w:highlight w:val="none"/>
          <w:lang w:val="en-US" w:eastAsia="zh-CN"/>
        </w:rPr>
      </w:pPr>
      <w:r>
        <w:rPr>
          <w:rFonts w:hint="eastAsia"/>
          <w:highlight w:val="none"/>
        </w:rPr>
        <w:t>2030年前实现碳达峰是以习近平同志为核心的党中央经过深思熟虑作出的重大战略决策，石河子经开区在构筑绿色、低碳、循环发展体系，推动碳达峰试点上具备特别优势和意义。</w:t>
      </w:r>
      <w:r>
        <w:rPr>
          <w:rFonts w:hint="eastAsia"/>
          <w:b/>
          <w:bCs/>
          <w:highlight w:val="none"/>
          <w:lang w:val="en-US" w:eastAsia="zh-CN"/>
        </w:rPr>
        <w:t>一是从</w:t>
      </w:r>
      <w:r>
        <w:rPr>
          <w:rFonts w:hint="eastAsia"/>
          <w:b/>
          <w:bCs/>
          <w:highlight w:val="none"/>
        </w:rPr>
        <w:t>区域贡献上看，是</w:t>
      </w:r>
      <w:r>
        <w:rPr>
          <w:rFonts w:hint="eastAsia"/>
          <w:b/>
          <w:bCs/>
          <w:highlight w:val="none"/>
          <w:lang w:val="en-US" w:eastAsia="zh-CN"/>
        </w:rPr>
        <w:t>师市</w:t>
      </w:r>
      <w:r>
        <w:rPr>
          <w:rFonts w:hint="eastAsia"/>
          <w:b/>
          <w:bCs/>
          <w:highlight w:val="none"/>
        </w:rPr>
        <w:t>乃至</w:t>
      </w:r>
      <w:r>
        <w:rPr>
          <w:rFonts w:hint="eastAsia"/>
          <w:b/>
          <w:bCs/>
          <w:highlight w:val="none"/>
          <w:lang w:val="en-US" w:eastAsia="zh-CN"/>
        </w:rPr>
        <w:t>自治区</w:t>
      </w:r>
      <w:r>
        <w:rPr>
          <w:rFonts w:hint="eastAsia"/>
          <w:b/>
          <w:bCs/>
          <w:highlight w:val="none"/>
        </w:rPr>
        <w:t>实现低碳和高质量发展的重要支撑。</w:t>
      </w:r>
      <w:r>
        <w:rPr>
          <w:rFonts w:hint="eastAsia"/>
          <w:highlight w:val="none"/>
        </w:rPr>
        <w:t>石河子经开区</w:t>
      </w:r>
      <w:r>
        <w:rPr>
          <w:rFonts w:hint="eastAsia"/>
          <w:highlight w:val="none"/>
          <w:lang w:val="en-US" w:eastAsia="zh-CN"/>
        </w:rPr>
        <w:t>的</w:t>
      </w:r>
      <w:r>
        <w:rPr>
          <w:rFonts w:hint="eastAsia"/>
          <w:highlight w:val="none"/>
        </w:rPr>
        <w:t>地区生产总值</w:t>
      </w:r>
      <w:r>
        <w:rPr>
          <w:rFonts w:hint="eastAsia"/>
          <w:highlight w:val="none"/>
          <w:lang w:eastAsia="zh-CN"/>
        </w:rPr>
        <w:t>、</w:t>
      </w:r>
      <w:r>
        <w:rPr>
          <w:rFonts w:hint="eastAsia"/>
          <w:highlight w:val="none"/>
        </w:rPr>
        <w:t>工业总产值</w:t>
      </w:r>
      <w:r>
        <w:rPr>
          <w:rFonts w:hint="eastAsia"/>
          <w:highlight w:val="none"/>
          <w:lang w:eastAsia="zh-CN"/>
        </w:rPr>
        <w:t>、</w:t>
      </w:r>
      <w:r>
        <w:rPr>
          <w:rFonts w:hint="eastAsia"/>
          <w:highlight w:val="none"/>
        </w:rPr>
        <w:t>招商引资实物量</w:t>
      </w:r>
      <w:r>
        <w:rPr>
          <w:rFonts w:hint="eastAsia"/>
          <w:highlight w:val="none"/>
          <w:lang w:val="en-US" w:eastAsia="zh-CN"/>
        </w:rPr>
        <w:t>分别</w:t>
      </w:r>
      <w:r>
        <w:rPr>
          <w:rFonts w:hint="eastAsia"/>
          <w:highlight w:val="none"/>
        </w:rPr>
        <w:t>占师市比重</w:t>
      </w:r>
      <w:r>
        <w:rPr>
          <w:rFonts w:hint="eastAsia"/>
          <w:highlight w:val="none"/>
          <w:lang w:val="en-US" w:eastAsia="zh-CN"/>
        </w:rPr>
        <w:t>的</w:t>
      </w:r>
      <w:r>
        <w:rPr>
          <w:rFonts w:hint="eastAsia"/>
          <w:highlight w:val="none"/>
        </w:rPr>
        <w:t>44.6%</w:t>
      </w:r>
      <w:r>
        <w:rPr>
          <w:rFonts w:hint="eastAsia"/>
          <w:highlight w:val="none"/>
          <w:lang w:eastAsia="zh-CN"/>
        </w:rPr>
        <w:t>、</w:t>
      </w:r>
      <w:r>
        <w:rPr>
          <w:rFonts w:hint="eastAsia"/>
          <w:highlight w:val="none"/>
        </w:rPr>
        <w:t>83.8%</w:t>
      </w:r>
      <w:r>
        <w:rPr>
          <w:rFonts w:hint="eastAsia"/>
          <w:highlight w:val="none"/>
          <w:lang w:eastAsia="zh-CN"/>
        </w:rPr>
        <w:t>、</w:t>
      </w:r>
      <w:r>
        <w:rPr>
          <w:rFonts w:hint="eastAsia"/>
          <w:highlight w:val="none"/>
        </w:rPr>
        <w:t>65.7%</w:t>
      </w:r>
      <w:r>
        <w:rPr>
          <w:rFonts w:hint="eastAsia"/>
          <w:highlight w:val="none"/>
          <w:lang w:eastAsia="zh-CN"/>
        </w:rPr>
        <w:t>，</w:t>
      </w:r>
      <w:r>
        <w:rPr>
          <w:rFonts w:hint="eastAsia"/>
          <w:highlight w:val="none"/>
          <w:lang w:val="en-US" w:eastAsia="zh-CN"/>
        </w:rPr>
        <w:t>是兵团经济高质量发展的主要增长极。</w:t>
      </w:r>
      <w:r>
        <w:rPr>
          <w:rFonts w:hint="eastAsia"/>
          <w:b/>
          <w:bCs/>
          <w:highlight w:val="none"/>
          <w:lang w:val="en-US" w:eastAsia="zh-CN"/>
        </w:rPr>
        <w:t>二是从技术支撑上看，新能源基础优势带动区域能源革新。</w:t>
      </w:r>
      <w:r>
        <w:rPr>
          <w:rFonts w:hint="eastAsia"/>
          <w:highlight w:val="none"/>
        </w:rPr>
        <w:t>石河子经开区拥有得天独厚的风光资源</w:t>
      </w:r>
      <w:r>
        <w:rPr>
          <w:rFonts w:hint="eastAsia"/>
          <w:highlight w:val="none"/>
          <w:lang w:eastAsia="zh-CN"/>
        </w:rPr>
        <w:t>，</w:t>
      </w:r>
      <w:r>
        <w:rPr>
          <w:rFonts w:hint="eastAsia"/>
          <w:highlight w:val="none"/>
        </w:rPr>
        <w:t>已建成西北最大光伏组件生产基地和风电基地</w:t>
      </w:r>
      <w:r>
        <w:rPr>
          <w:rFonts w:hint="eastAsia"/>
          <w:highlight w:val="none"/>
          <w:lang w:eastAsia="zh-CN"/>
        </w:rPr>
        <w:t>，</w:t>
      </w:r>
      <w:r>
        <w:rPr>
          <w:rFonts w:hint="eastAsia"/>
          <w:highlight w:val="none"/>
          <w:lang w:val="en-US" w:eastAsia="zh-CN"/>
        </w:rPr>
        <w:t>依托</w:t>
      </w:r>
      <w:r>
        <w:rPr>
          <w:rFonts w:hint="eastAsia"/>
          <w:highlight w:val="none"/>
        </w:rPr>
        <w:t>“源网荷储”协同机制，推动新能源替代煤电、绿氢耦合化工等场景落地</w:t>
      </w:r>
      <w:r>
        <w:rPr>
          <w:rFonts w:hint="eastAsia"/>
          <w:highlight w:val="none"/>
          <w:lang w:eastAsia="zh-CN"/>
        </w:rPr>
        <w:t>，</w:t>
      </w:r>
      <w:r>
        <w:rPr>
          <w:rFonts w:hint="eastAsia"/>
          <w:highlight w:val="none"/>
        </w:rPr>
        <w:t>通过</w:t>
      </w:r>
      <w:r>
        <w:rPr>
          <w:rFonts w:hint="eastAsia"/>
          <w:highlight w:val="none"/>
          <w:lang w:val="en-US" w:eastAsia="zh-CN"/>
        </w:rPr>
        <w:t>打造</w:t>
      </w:r>
      <w:r>
        <w:rPr>
          <w:rFonts w:hint="eastAsia"/>
          <w:highlight w:val="none"/>
        </w:rPr>
        <w:t>“风光储氢一体化”减碳新标杆</w:t>
      </w:r>
      <w:r>
        <w:rPr>
          <w:rFonts w:hint="eastAsia"/>
          <w:highlight w:val="none"/>
          <w:lang w:eastAsia="zh-CN"/>
        </w:rPr>
        <w:t>，</w:t>
      </w:r>
      <w:r>
        <w:rPr>
          <w:rFonts w:hint="eastAsia"/>
          <w:highlight w:val="none"/>
          <w:lang w:val="en-US" w:eastAsia="zh-CN"/>
        </w:rPr>
        <w:t>为</w:t>
      </w:r>
      <w:r>
        <w:rPr>
          <w:rFonts w:hint="eastAsia"/>
          <w:highlight w:val="none"/>
        </w:rPr>
        <w:t>高载能园区</w:t>
      </w:r>
      <w:r>
        <w:rPr>
          <w:rFonts w:hint="eastAsia"/>
          <w:highlight w:val="none"/>
          <w:lang w:val="en-US" w:eastAsia="zh-CN"/>
        </w:rPr>
        <w:t>碳达峰路径</w:t>
      </w:r>
      <w:r>
        <w:rPr>
          <w:rFonts w:hint="eastAsia"/>
          <w:highlight w:val="none"/>
        </w:rPr>
        <w:t>提供技术方案</w:t>
      </w:r>
      <w:r>
        <w:rPr>
          <w:rFonts w:hint="eastAsia"/>
          <w:highlight w:val="none"/>
          <w:lang w:eastAsia="zh-CN"/>
        </w:rPr>
        <w:t>。</w:t>
      </w:r>
      <w:r>
        <w:rPr>
          <w:rFonts w:hint="eastAsia"/>
          <w:highlight w:val="none"/>
          <w:lang w:val="en-US" w:eastAsia="zh-CN"/>
        </w:rPr>
        <w:t>三</w:t>
      </w:r>
      <w:r>
        <w:rPr>
          <w:rFonts w:hint="eastAsia"/>
          <w:b/>
          <w:bCs/>
          <w:highlight w:val="none"/>
          <w:lang w:val="en-US" w:eastAsia="zh-CN"/>
        </w:rPr>
        <w:t>是从对外开放上看，是</w:t>
      </w:r>
      <w:r>
        <w:rPr>
          <w:rFonts w:hint="eastAsia"/>
          <w:b/>
          <w:bCs/>
          <w:highlight w:val="none"/>
        </w:rPr>
        <w:t>丝绸之路经济带绿色低碳发展新高地</w:t>
      </w:r>
      <w:r>
        <w:rPr>
          <w:rFonts w:hint="eastAsia"/>
          <w:b/>
          <w:bCs/>
          <w:highlight w:val="none"/>
          <w:lang w:val="en-US" w:eastAsia="zh-CN"/>
        </w:rPr>
        <w:t>。</w:t>
      </w:r>
      <w:r>
        <w:rPr>
          <w:rFonts w:hint="eastAsia"/>
          <w:highlight w:val="none"/>
        </w:rPr>
        <w:t>石河子经开区地处丝绸之路经济带核心枢纽，是连接中亚、欧洲的重要门户</w:t>
      </w:r>
      <w:r>
        <w:rPr>
          <w:rFonts w:hint="eastAsia"/>
          <w:highlight w:val="none"/>
          <w:lang w:eastAsia="zh-CN"/>
        </w:rPr>
        <w:t>，</w:t>
      </w:r>
      <w:r>
        <w:rPr>
          <w:rFonts w:hint="eastAsia"/>
          <w:highlight w:val="none"/>
          <w:lang w:val="en-US" w:eastAsia="zh-CN"/>
        </w:rPr>
        <w:t>是</w:t>
      </w:r>
      <w:r>
        <w:rPr>
          <w:rFonts w:hint="eastAsia"/>
          <w:highlight w:val="none"/>
        </w:rPr>
        <w:t>新疆生产建设兵团开放前沿</w:t>
      </w:r>
      <w:r>
        <w:rPr>
          <w:rFonts w:hint="eastAsia"/>
          <w:highlight w:val="none"/>
          <w:lang w:eastAsia="zh-CN"/>
        </w:rPr>
        <w:t>，</w:t>
      </w:r>
      <w:r>
        <w:rPr>
          <w:rFonts w:hint="eastAsia"/>
          <w:highlight w:val="none"/>
        </w:rPr>
        <w:t>通过中欧班列、跨境产业园区等渠道，向中亚及欧洲输出光伏组件、氢能装备等绿色技术产品，抢占低碳技术标准话语权</w:t>
      </w:r>
      <w:r>
        <w:rPr>
          <w:rFonts w:hint="eastAsia"/>
          <w:highlight w:val="none"/>
          <w:lang w:eastAsia="zh-CN"/>
        </w:rPr>
        <w:t>，</w:t>
      </w:r>
      <w:r>
        <w:rPr>
          <w:rFonts w:hint="eastAsia"/>
          <w:highlight w:val="none"/>
        </w:rPr>
        <w:t>为边疆地区开放型经济注入绿色动能</w:t>
      </w:r>
      <w:r>
        <w:rPr>
          <w:rFonts w:hint="eastAsia"/>
          <w:b w:val="0"/>
          <w:bCs w:val="0"/>
          <w:highlight w:val="none"/>
          <w:lang w:val="en-US" w:eastAsia="zh-CN"/>
        </w:rPr>
        <w:t>。</w:t>
      </w:r>
    </w:p>
    <w:p w14:paraId="176E4A07">
      <w:pPr>
        <w:pStyle w:val="3"/>
        <w:ind w:firstLine="640"/>
        <w:rPr>
          <w:rFonts w:hint="default" w:eastAsia="楷体_GB2312"/>
          <w:highlight w:val="none"/>
          <w:lang w:val="en-US" w:eastAsia="zh-CN"/>
        </w:rPr>
      </w:pPr>
      <w:bookmarkStart w:id="9" w:name="_Toc12528"/>
      <w:bookmarkStart w:id="10" w:name="_Toc30403"/>
      <w:bookmarkStart w:id="11" w:name="_Toc16597"/>
      <w:bookmarkStart w:id="12" w:name="_Toc11132"/>
      <w:r>
        <w:rPr>
          <w:rFonts w:hint="eastAsia"/>
          <w:highlight w:val="none"/>
        </w:rPr>
        <w:t>（</w:t>
      </w:r>
      <w:r>
        <w:rPr>
          <w:rFonts w:hint="eastAsia"/>
          <w:highlight w:val="none"/>
          <w:lang w:val="en-US" w:eastAsia="zh-CN"/>
        </w:rPr>
        <w:t>二</w:t>
      </w:r>
      <w:r>
        <w:rPr>
          <w:rFonts w:hint="eastAsia"/>
          <w:highlight w:val="none"/>
        </w:rPr>
        <w:t>）石河子经开区</w:t>
      </w:r>
      <w:r>
        <w:rPr>
          <w:rFonts w:hint="eastAsia"/>
          <w:highlight w:val="none"/>
          <w:lang w:val="en-US" w:eastAsia="zh-CN"/>
        </w:rPr>
        <w:t>绿色低碳发展概况</w:t>
      </w:r>
      <w:bookmarkEnd w:id="9"/>
      <w:bookmarkEnd w:id="10"/>
      <w:bookmarkEnd w:id="11"/>
      <w:bookmarkEnd w:id="12"/>
    </w:p>
    <w:p w14:paraId="2A2281A0">
      <w:pPr>
        <w:widowControl/>
        <w:ind w:firstLine="640" w:firstLineChars="0"/>
        <w:jc w:val="left"/>
        <w:rPr>
          <w:rFonts w:hint="eastAsia" w:eastAsia="仿宋_GB2312"/>
          <w:highlight w:val="none"/>
          <w:lang w:val="en-US" w:eastAsia="zh-CN"/>
        </w:rPr>
      </w:pPr>
      <w:r>
        <w:rPr>
          <w:rFonts w:hint="eastAsia"/>
          <w:highlight w:val="none"/>
        </w:rPr>
        <w:t>近年来，</w:t>
      </w:r>
      <w:r>
        <w:rPr>
          <w:rFonts w:hint="eastAsia"/>
          <w:highlight w:val="none"/>
          <w:lang w:eastAsia="zh-CN"/>
        </w:rPr>
        <w:t>石河子</w:t>
      </w:r>
      <w:r>
        <w:rPr>
          <w:rFonts w:hint="eastAsia"/>
          <w:highlight w:val="none"/>
        </w:rPr>
        <w:t>经开区坚持以习近平新时代中国特色社会主义思想为指导，自觉把“绿水青山就是金山银山”理念落实到经济社会发展全过程全领域，绿色成为园区最深厚的底色，创新成为发展最核心的动力。</w:t>
      </w:r>
      <w:r>
        <w:rPr>
          <w:rFonts w:hint="eastAsia"/>
          <w:b/>
          <w:bCs/>
          <w:highlight w:val="none"/>
          <w:lang w:val="en-US" w:eastAsia="zh-CN"/>
        </w:rPr>
        <w:t>一是</w:t>
      </w:r>
      <w:r>
        <w:rPr>
          <w:rFonts w:hint="eastAsia"/>
          <w:b/>
          <w:bCs/>
          <w:highlight w:val="none"/>
        </w:rPr>
        <w:t>产业结构</w:t>
      </w:r>
      <w:r>
        <w:rPr>
          <w:rFonts w:hint="eastAsia"/>
          <w:b/>
          <w:bCs/>
          <w:highlight w:val="none"/>
          <w:lang w:val="en-US" w:eastAsia="zh-CN"/>
        </w:rPr>
        <w:t>不断</w:t>
      </w:r>
      <w:r>
        <w:rPr>
          <w:rFonts w:hint="eastAsia"/>
          <w:b/>
          <w:bCs/>
          <w:highlight w:val="none"/>
        </w:rPr>
        <w:t>优化升级，</w:t>
      </w:r>
      <w:r>
        <w:rPr>
          <w:rFonts w:hint="eastAsia"/>
          <w:highlight w:val="none"/>
        </w:rPr>
        <w:t>着力以投资促进支柱产业建链、强链、补链。</w:t>
      </w:r>
      <w:r>
        <w:rPr>
          <w:rFonts w:hint="eastAsia"/>
          <w:b/>
          <w:bCs/>
          <w:highlight w:val="none"/>
          <w:lang w:val="en-US" w:eastAsia="zh-CN"/>
        </w:rPr>
        <w:t>二是</w:t>
      </w:r>
      <w:r>
        <w:rPr>
          <w:rFonts w:hint="eastAsia"/>
          <w:b/>
          <w:bCs/>
          <w:highlight w:val="none"/>
        </w:rPr>
        <w:t>打造绿色制造体系方面，</w:t>
      </w:r>
      <w:r>
        <w:rPr>
          <w:rFonts w:hint="eastAsia"/>
          <w:highlight w:val="none"/>
        </w:rPr>
        <w:t>加快绿色工厂、绿色技术、绿色产品等培育，持续完善绿色制造体系，</w:t>
      </w:r>
      <w:r>
        <w:rPr>
          <w:rFonts w:hint="eastAsia"/>
          <w:highlight w:val="none"/>
          <w:lang w:val="en-US" w:eastAsia="zh-CN"/>
        </w:rPr>
        <w:t>累计</w:t>
      </w:r>
      <w:r>
        <w:rPr>
          <w:rFonts w:hint="eastAsia"/>
          <w:highlight w:val="none"/>
        </w:rPr>
        <w:t>创建7家国家级绿色工厂、1家国家级绿色设计示范企业、</w:t>
      </w:r>
      <w:r>
        <w:rPr>
          <w:rFonts w:hint="eastAsia"/>
          <w:highlight w:val="none"/>
          <w:lang w:val="en-US" w:eastAsia="zh-CN"/>
        </w:rPr>
        <w:t>2</w:t>
      </w:r>
      <w:r>
        <w:rPr>
          <w:rFonts w:hint="eastAsia"/>
          <w:highlight w:val="none"/>
        </w:rPr>
        <w:t>家石油和化工行业绿色工厂，</w:t>
      </w:r>
      <w:r>
        <w:rPr>
          <w:rFonts w:hint="eastAsia"/>
          <w:highlight w:val="none"/>
          <w:lang w:val="en-US" w:eastAsia="zh-CN"/>
        </w:rPr>
        <w:t>园区</w:t>
      </w:r>
      <w:r>
        <w:rPr>
          <w:rFonts w:hint="eastAsia"/>
          <w:highlight w:val="none"/>
        </w:rPr>
        <w:t>成为首批兵团绿色工业园区</w:t>
      </w:r>
      <w:r>
        <w:rPr>
          <w:rFonts w:hint="eastAsia"/>
          <w:highlight w:val="none"/>
          <w:lang w:eastAsia="zh-CN"/>
        </w:rPr>
        <w:t>。</w:t>
      </w:r>
      <w:r>
        <w:rPr>
          <w:rFonts w:hint="eastAsia"/>
          <w:b/>
          <w:bCs/>
          <w:highlight w:val="none"/>
          <w:lang w:val="en-US" w:eastAsia="zh-CN"/>
        </w:rPr>
        <w:t>三是</w:t>
      </w:r>
      <w:r>
        <w:rPr>
          <w:rFonts w:hint="eastAsia"/>
          <w:b/>
          <w:bCs/>
          <w:highlight w:val="none"/>
        </w:rPr>
        <w:t>资源能源利用水平</w:t>
      </w:r>
      <w:r>
        <w:rPr>
          <w:rFonts w:hint="eastAsia"/>
          <w:b/>
          <w:bCs/>
          <w:highlight w:val="none"/>
          <w:lang w:val="en-US" w:eastAsia="zh-CN"/>
        </w:rPr>
        <w:t>不断</w:t>
      </w:r>
      <w:r>
        <w:rPr>
          <w:rFonts w:hint="eastAsia"/>
          <w:b/>
          <w:bCs/>
          <w:highlight w:val="none"/>
        </w:rPr>
        <w:t>提升，</w:t>
      </w:r>
      <w:r>
        <w:rPr>
          <w:rFonts w:hint="eastAsia"/>
          <w:b w:val="0"/>
          <w:bCs w:val="0"/>
          <w:highlight w:val="none"/>
        </w:rPr>
        <w:t>坚持以亩产论英雄，</w:t>
      </w:r>
      <w:r>
        <w:rPr>
          <w:rFonts w:hint="eastAsia"/>
          <w:highlight w:val="none"/>
        </w:rPr>
        <w:t>持续推进循环经济</w:t>
      </w:r>
      <w:r>
        <w:rPr>
          <w:rFonts w:hint="eastAsia"/>
          <w:highlight w:val="none"/>
          <w:lang w:eastAsia="zh-CN"/>
        </w:rPr>
        <w:t>，</w:t>
      </w:r>
      <w:r>
        <w:rPr>
          <w:rFonts w:hint="eastAsia"/>
          <w:highlight w:val="none"/>
        </w:rPr>
        <w:t>促进节能降耗</w:t>
      </w:r>
      <w:r>
        <w:rPr>
          <w:rFonts w:hint="eastAsia"/>
          <w:highlight w:val="none"/>
          <w:lang w:eastAsia="zh-CN"/>
        </w:rPr>
        <w:t>，</w:t>
      </w:r>
      <w:r>
        <w:rPr>
          <w:rFonts w:hint="eastAsia"/>
          <w:b w:val="0"/>
          <w:bCs w:val="0"/>
          <w:highlight w:val="none"/>
        </w:rPr>
        <w:t>打造产城融合循环经济产业链</w:t>
      </w:r>
      <w:r>
        <w:rPr>
          <w:rFonts w:hint="eastAsia"/>
          <w:b w:val="0"/>
          <w:bCs w:val="0"/>
          <w:highlight w:val="none"/>
          <w:lang w:eastAsia="zh-CN"/>
        </w:rPr>
        <w:t>。</w:t>
      </w:r>
      <w:r>
        <w:rPr>
          <w:rFonts w:hint="eastAsia"/>
          <w:b/>
          <w:bCs/>
          <w:highlight w:val="none"/>
          <w:lang w:val="en-US" w:eastAsia="zh-CN"/>
        </w:rPr>
        <w:t>四是</w:t>
      </w:r>
      <w:r>
        <w:rPr>
          <w:rFonts w:hint="eastAsia"/>
          <w:b/>
          <w:bCs/>
          <w:highlight w:val="none"/>
        </w:rPr>
        <w:t>基础设施建设绿色升级</w:t>
      </w:r>
      <w:r>
        <w:rPr>
          <w:rFonts w:hint="eastAsia"/>
          <w:b/>
          <w:bCs/>
          <w:highlight w:val="none"/>
          <w:lang w:eastAsia="zh-CN"/>
        </w:rPr>
        <w:t>，</w:t>
      </w:r>
      <w:r>
        <w:rPr>
          <w:rFonts w:hint="eastAsia"/>
          <w:highlight w:val="none"/>
        </w:rPr>
        <w:t>坚持系统治理，完善配套设施和平台，以创建国家卫生城市、文明城市为契机，推进环卫保洁常态化，城市管理水平不断提高。</w:t>
      </w:r>
      <w:r>
        <w:rPr>
          <w:rFonts w:hint="eastAsia"/>
          <w:b/>
          <w:bCs/>
          <w:highlight w:val="none"/>
          <w:lang w:val="en-US" w:eastAsia="zh-CN"/>
        </w:rPr>
        <w:t>五是</w:t>
      </w:r>
      <w:r>
        <w:rPr>
          <w:rFonts w:hint="eastAsia"/>
          <w:b/>
          <w:bCs/>
          <w:highlight w:val="none"/>
        </w:rPr>
        <w:t>制度管理体系</w:t>
      </w:r>
      <w:r>
        <w:rPr>
          <w:rFonts w:hint="eastAsia"/>
          <w:b/>
          <w:bCs/>
          <w:highlight w:val="none"/>
          <w:lang w:val="en-US" w:eastAsia="zh-CN"/>
        </w:rPr>
        <w:t>持续</w:t>
      </w:r>
      <w:r>
        <w:rPr>
          <w:rFonts w:hint="eastAsia"/>
          <w:b/>
          <w:bCs/>
          <w:highlight w:val="none"/>
        </w:rPr>
        <w:t>完善，</w:t>
      </w:r>
      <w:r>
        <w:rPr>
          <w:rFonts w:hint="eastAsia"/>
          <w:highlight w:val="none"/>
        </w:rPr>
        <w:t>持续出台绿色发展政策</w:t>
      </w:r>
      <w:r>
        <w:rPr>
          <w:rFonts w:hint="eastAsia"/>
          <w:highlight w:val="none"/>
          <w:lang w:eastAsia="zh-CN"/>
        </w:rPr>
        <w:t>，</w:t>
      </w:r>
      <w:r>
        <w:rPr>
          <w:rFonts w:hint="eastAsia"/>
          <w:highlight w:val="none"/>
        </w:rPr>
        <w:t>在兵团率先推行节能降碳专项行动，引导企业开展生产设备绿色低碳改造，降低碳排放，推动全区绿色低碳高质量发展。</w:t>
      </w:r>
      <w:r>
        <w:rPr>
          <w:rFonts w:hint="eastAsia"/>
          <w:b/>
          <w:bCs/>
          <w:highlight w:val="none"/>
          <w:lang w:val="en-US" w:eastAsia="zh-CN"/>
        </w:rPr>
        <w:t>六是</w:t>
      </w:r>
      <w:r>
        <w:rPr>
          <w:rFonts w:hint="eastAsia"/>
          <w:b/>
          <w:bCs/>
          <w:highlight w:val="none"/>
        </w:rPr>
        <w:t>园区运行智慧管理</w:t>
      </w:r>
      <w:r>
        <w:rPr>
          <w:rFonts w:hint="eastAsia"/>
          <w:b/>
          <w:bCs/>
          <w:highlight w:val="none"/>
          <w:lang w:val="en-US" w:eastAsia="zh-CN"/>
        </w:rPr>
        <w:t>方面，</w:t>
      </w:r>
      <w:r>
        <w:rPr>
          <w:rFonts w:hint="eastAsia"/>
          <w:highlight w:val="none"/>
        </w:rPr>
        <w:t>建设完善园区环保综合监管平台，对感知数据进行一体化智慧应用，显著提升园区环境监管和科学决策能力，为园区“服务环境管理、改善环境质量、防范环境风险”的目标提供重要的信息化工具和手段</w:t>
      </w:r>
      <w:r>
        <w:rPr>
          <w:rFonts w:hint="eastAsia"/>
          <w:highlight w:val="none"/>
          <w:lang w:eastAsia="zh-CN"/>
        </w:rPr>
        <w:t>。</w:t>
      </w:r>
    </w:p>
    <w:p w14:paraId="41A29C18">
      <w:pPr>
        <w:pStyle w:val="3"/>
        <w:ind w:firstLine="640"/>
        <w:rPr>
          <w:rFonts w:hint="default" w:eastAsia="楷体_GB2312"/>
          <w:highlight w:val="none"/>
          <w:lang w:val="en-US" w:eastAsia="zh-CN"/>
        </w:rPr>
      </w:pPr>
      <w:bookmarkStart w:id="13" w:name="_Toc28446"/>
      <w:bookmarkStart w:id="14" w:name="_Toc1790"/>
      <w:bookmarkStart w:id="15" w:name="_Toc3199"/>
      <w:bookmarkStart w:id="16" w:name="_Toc2742"/>
      <w:r>
        <w:rPr>
          <w:rFonts w:hint="eastAsia"/>
          <w:highlight w:val="none"/>
        </w:rPr>
        <w:t>（</w:t>
      </w:r>
      <w:r>
        <w:rPr>
          <w:rFonts w:hint="eastAsia"/>
          <w:highlight w:val="none"/>
          <w:lang w:val="en-US" w:eastAsia="zh-CN"/>
        </w:rPr>
        <w:t>三</w:t>
      </w:r>
      <w:r>
        <w:rPr>
          <w:rFonts w:hint="eastAsia"/>
          <w:highlight w:val="none"/>
        </w:rPr>
        <w:t>）</w:t>
      </w:r>
      <w:r>
        <w:rPr>
          <w:rFonts w:hint="eastAsia"/>
          <w:highlight w:val="none"/>
          <w:lang w:val="en-US" w:eastAsia="zh-CN"/>
        </w:rPr>
        <w:t>推进思路和路径</w:t>
      </w:r>
      <w:bookmarkEnd w:id="13"/>
      <w:bookmarkEnd w:id="14"/>
      <w:bookmarkEnd w:id="15"/>
      <w:bookmarkEnd w:id="16"/>
    </w:p>
    <w:p w14:paraId="7C5964B1">
      <w:pPr>
        <w:rPr>
          <w:rFonts w:hint="eastAsia"/>
          <w:highlight w:val="none"/>
        </w:rPr>
      </w:pPr>
      <w:r>
        <w:rPr>
          <w:rFonts w:hint="eastAsia"/>
          <w:highlight w:val="none"/>
        </w:rPr>
        <w:t>面向未来，</w:t>
      </w:r>
      <w:r>
        <w:rPr>
          <w:rFonts w:hint="eastAsia"/>
          <w:highlight w:val="none"/>
          <w:lang w:val="en-US" w:eastAsia="zh-CN"/>
        </w:rPr>
        <w:t>石河子经开区将</w:t>
      </w:r>
      <w:r>
        <w:rPr>
          <w:rFonts w:hint="eastAsia"/>
          <w:highlight w:val="none"/>
        </w:rPr>
        <w:t>以习近平新时代中国特色社会主义思想为指导，以习近平经济思想、习近平生态文明思想为根本遵循，贯彻落实兵团第八次党代会和兵团党委八届二次、三次、四次全会决策部署，完整准确贯彻新时代党的治疆方略，坚持稳中求进工作总基调，完整准确全面贯彻新发展理念，注重处理好发展和减排、整体和局部、长远目标和短期目标、政府和市场的关系，推动建设资源高效利用、绿色低碳发展的工业园区，着力打造国家级碳达峰综合示范区和国际领先的产业园区绿色低碳发展先锋，确保区域如期实现碳达峰。</w:t>
      </w:r>
    </w:p>
    <w:p w14:paraId="4F8CA435">
      <w:pPr>
        <w:rPr>
          <w:rFonts w:hint="eastAsia"/>
          <w:highlight w:val="none"/>
        </w:rPr>
      </w:pPr>
      <w:r>
        <w:rPr>
          <w:rFonts w:hint="eastAsia"/>
          <w:highlight w:val="none"/>
        </w:rPr>
        <w:t>围绕上述定位，立足园区发展实际，园区推进碳达峰试点，</w:t>
      </w:r>
      <w:r>
        <w:rPr>
          <w:rFonts w:hint="eastAsia"/>
          <w:b/>
          <w:bCs/>
          <w:highlight w:val="none"/>
        </w:rPr>
        <w:t>以能源转型为核心，以产业转型为引领，以生产方式绿色化为重点，以政策创新为驱动，</w:t>
      </w:r>
      <w:r>
        <w:rPr>
          <w:rFonts w:hint="eastAsia"/>
          <w:highlight w:val="none"/>
        </w:rPr>
        <w:t>推动园区产业高质量发展，提升基础设施绿色低碳水平，大力推动资源循环利用，提升减污降碳协同能力，积极打造新疆产业转型升级示范区、兵团产业高质量发展引领区。</w:t>
      </w:r>
    </w:p>
    <w:p w14:paraId="79515488">
      <w:pPr>
        <w:rPr>
          <w:rFonts w:hint="eastAsia"/>
          <w:highlight w:val="none"/>
        </w:rPr>
      </w:pPr>
      <w:r>
        <w:rPr>
          <w:rFonts w:hint="eastAsia"/>
          <w:b/>
          <w:bCs/>
          <w:highlight w:val="none"/>
        </w:rPr>
        <w:t>以能源转型为核心，奠定绿色低碳发展坚实基础。</w:t>
      </w:r>
      <w:r>
        <w:rPr>
          <w:rFonts w:hint="eastAsia"/>
          <w:highlight w:val="none"/>
        </w:rPr>
        <w:t>立足以煤为主的能源消费实际，在新能源安全可靠替代基础上稳步推动传统能源逐步退出。全面启动经开区煤电机组“三改联动”，有效减少燃煤使用和碳排放。坚持将绿电开发与绿电消纳作为降碳的源头活水，依托师市集中式光伏项目建设，全力争取绿电资源，并以铝、硅产业的核心企业为重点，大力推进能源消费侧的结构转型。积极推动绿氢示范项目，推动建设绿氢减碳创新应用示范工程。</w:t>
      </w:r>
    </w:p>
    <w:p w14:paraId="679435BD">
      <w:pPr>
        <w:rPr>
          <w:rFonts w:hint="eastAsia"/>
          <w:highlight w:val="none"/>
        </w:rPr>
      </w:pPr>
      <w:r>
        <w:rPr>
          <w:rFonts w:hint="eastAsia"/>
          <w:b/>
          <w:bCs/>
          <w:highlight w:val="none"/>
        </w:rPr>
        <w:t>以产业转型为引领，推动产业集群向高端绿色迈进。</w:t>
      </w:r>
      <w:r>
        <w:rPr>
          <w:rFonts w:hint="eastAsia"/>
          <w:highlight w:val="none"/>
        </w:rPr>
        <w:t>优化产业结构，依法依规淘汰落后产能，大力发展战略性新兴产业，并加速传统产业的绿色低碳改造，大力发展光伏为主的绿色能源装备制造业。着力推动产业链条式延伸、资源循环式利用以及企业集群式组合，推动现有产业集群向高端化、绿色化、智能化方向转型升级。严格对标国家能效标杆水平和基准水平，推动有色金属、化工、新材料、建材等重点行业节能降碳。</w:t>
      </w:r>
    </w:p>
    <w:p w14:paraId="746C0EB5">
      <w:pPr>
        <w:rPr>
          <w:rFonts w:hint="eastAsia"/>
          <w:highlight w:val="none"/>
        </w:rPr>
      </w:pPr>
      <w:r>
        <w:rPr>
          <w:rFonts w:hint="eastAsia"/>
          <w:b/>
          <w:bCs/>
          <w:highlight w:val="none"/>
        </w:rPr>
        <w:t>以生产方式绿色化为重点，提升企业节能降碳能力。</w:t>
      </w:r>
      <w:r>
        <w:rPr>
          <w:rFonts w:hint="eastAsia"/>
          <w:highlight w:val="none"/>
        </w:rPr>
        <w:t>以生产方式绿色化为重点，持续推进国家级、兵团级绿色产品、绿色工厂、绿色工业园区和绿色供应链管理企业的建设。对绿色工厂实施全过程动态化管理，并探索分类开展星级评价。“一企一策”地开展节能降碳工作，引导企业向绿色低碳转型。引进第三方服务机构“环保管家”，形成园区主导、第三方引导、企业执行的多元协同共治机制。</w:t>
      </w:r>
    </w:p>
    <w:p w14:paraId="1564BD60">
      <w:pPr>
        <w:rPr>
          <w:rFonts w:hint="eastAsia" w:eastAsia="仿宋_GB2312"/>
          <w:lang w:eastAsia="zh-CN"/>
        </w:rPr>
      </w:pPr>
      <w:r>
        <w:rPr>
          <w:rFonts w:hint="eastAsia"/>
          <w:b/>
          <w:bCs/>
          <w:highlight w:val="none"/>
        </w:rPr>
        <w:t>以政策创新为驱动，构建</w:t>
      </w:r>
      <w:r>
        <w:rPr>
          <w:rFonts w:hint="eastAsia"/>
          <w:b/>
          <w:bCs/>
          <w:highlight w:val="none"/>
          <w:lang w:val="en-US" w:eastAsia="zh-CN"/>
        </w:rPr>
        <w:t>园区</w:t>
      </w:r>
      <w:r>
        <w:rPr>
          <w:rFonts w:hint="eastAsia"/>
          <w:b/>
          <w:bCs/>
          <w:highlight w:val="none"/>
        </w:rPr>
        <w:t>特色</w:t>
      </w:r>
      <w:r>
        <w:rPr>
          <w:rFonts w:hint="eastAsia"/>
          <w:b/>
          <w:bCs/>
          <w:highlight w:val="none"/>
          <w:lang w:eastAsia="zh-CN"/>
        </w:rPr>
        <w:t>“双碳”</w:t>
      </w:r>
      <w:r>
        <w:rPr>
          <w:rFonts w:hint="eastAsia"/>
          <w:b/>
          <w:bCs/>
          <w:highlight w:val="none"/>
        </w:rPr>
        <w:t>政策体系。</w:t>
      </w:r>
      <w:r>
        <w:rPr>
          <w:rFonts w:hint="eastAsia"/>
          <w:highlight w:val="none"/>
        </w:rPr>
        <w:t>积极探索能耗双控向碳排放双控的转变，积极探索能耗双控向碳排放双控的转变，将碳排放指标纳入园区经济和社会发展规划，着力完善园区层面碳排放统计核算体系，夯实数据基础，探索建立碳排放预算管理体系。同时，在新能源、绿色技术、绿色产业等方面加强政策扶持，统筹生态环境保护、节能降碳等资金，加大对碳达峰、碳中和工作支持力度</w:t>
      </w:r>
      <w:r>
        <w:rPr>
          <w:rFonts w:hint="eastAsia"/>
          <w:highlight w:val="none"/>
          <w:lang w:eastAsia="zh-CN"/>
        </w:rPr>
        <w:t>。</w:t>
      </w:r>
    </w:p>
    <w:p w14:paraId="5824CF4B">
      <w:pPr>
        <w:widowControl/>
        <w:ind w:firstLine="640" w:firstLineChars="0"/>
        <w:jc w:val="left"/>
        <w:rPr>
          <w:rFonts w:hint="eastAsia" w:eastAsia="仿宋_GB2312" w:cstheme="minorBidi"/>
          <w:sz w:val="32"/>
          <w:szCs w:val="22"/>
        </w:rPr>
      </w:pPr>
    </w:p>
    <w:p w14:paraId="18D5E96A">
      <w:pPr>
        <w:widowControl/>
        <w:ind w:firstLine="640" w:firstLineChars="0"/>
        <w:jc w:val="left"/>
        <w:rPr>
          <w:rFonts w:hint="eastAsia" w:eastAsia="仿宋_GB2312" w:cstheme="minorBidi"/>
          <w:sz w:val="32"/>
          <w:szCs w:val="22"/>
        </w:rPr>
        <w:sectPr>
          <w:headerReference r:id="rId6" w:type="default"/>
          <w:footerReference r:id="rId7" w:type="default"/>
          <w:pgSz w:w="11906" w:h="16838"/>
          <w:pgMar w:top="2098" w:right="1474" w:bottom="1985" w:left="1588" w:header="1134" w:footer="1134" w:gutter="0"/>
          <w:pgNumType w:fmt="upperRoman" w:start="1"/>
          <w:cols w:space="425" w:num="1"/>
          <w:docGrid w:type="linesAndChars" w:linePitch="312" w:charSpace="0"/>
        </w:sectPr>
      </w:pPr>
    </w:p>
    <w:p w14:paraId="271D1E6E">
      <w:pPr>
        <w:pStyle w:val="15"/>
        <w:tabs>
          <w:tab w:val="right" w:leader="dot" w:pos="8834"/>
        </w:tabs>
        <w:ind w:left="0" w:leftChars="0" w:firstLine="0" w:firstLineChars="0"/>
        <w:jc w:val="center"/>
        <w:rPr>
          <w:rFonts w:ascii="Times New Roman" w:hAnsi="Times New Roman" w:eastAsia="黑体" w:cs="Times New Roman"/>
          <w:kern w:val="2"/>
          <w:sz w:val="32"/>
          <w:szCs w:val="22"/>
          <w:lang w:val="en-US" w:eastAsia="zh-CN" w:bidi="ar-SA"/>
        </w:rPr>
      </w:pPr>
      <w:r>
        <w:rPr>
          <w:rFonts w:hint="eastAsia" w:eastAsia="黑体" w:cs="Times New Roman"/>
          <w:sz w:val="36"/>
          <w:szCs w:val="36"/>
        </w:rPr>
        <w:t>目 录</w:t>
      </w:r>
      <w:r>
        <w:rPr>
          <w:rFonts w:cs="Times New Roman"/>
        </w:rPr>
        <w:fldChar w:fldCharType="begin"/>
      </w:r>
      <w:r>
        <w:rPr>
          <w:rFonts w:cs="Times New Roman"/>
        </w:rPr>
        <w:instrText xml:space="preserve"> TOC \o "1-2" \h \z \u </w:instrText>
      </w:r>
      <w:r>
        <w:rPr>
          <w:rFonts w:cs="Times New Roman"/>
        </w:rPr>
        <w:fldChar w:fldCharType="separate"/>
      </w:r>
    </w:p>
    <w:p w14:paraId="1BEB2DA7">
      <w:pPr>
        <w:pStyle w:val="13"/>
        <w:tabs>
          <w:tab w:val="right" w:leader="dot" w:pos="8844"/>
        </w:tabs>
      </w:pPr>
      <w:r>
        <w:rPr>
          <w:rFonts w:eastAsia="黑体" w:cs="Times New Roman"/>
        </w:rPr>
        <w:fldChar w:fldCharType="begin"/>
      </w:r>
      <w:r>
        <w:rPr>
          <w:rFonts w:eastAsia="黑体" w:cs="Times New Roman"/>
        </w:rPr>
        <w:instrText xml:space="preserve"> HYPERLINK \l _Toc29751 </w:instrText>
      </w:r>
      <w:r>
        <w:rPr>
          <w:rFonts w:eastAsia="黑体" w:cs="Times New Roman"/>
        </w:rPr>
        <w:fldChar w:fldCharType="separate"/>
      </w:r>
      <w:r>
        <w:rPr>
          <w:rFonts w:hint="eastAsia"/>
        </w:rPr>
        <w:t>一、</w:t>
      </w:r>
      <w:r>
        <w:rPr>
          <w:rFonts w:hint="eastAsia"/>
          <w:lang w:val="en-US" w:eastAsia="zh-CN"/>
        </w:rPr>
        <w:t>工作</w:t>
      </w:r>
      <w:r>
        <w:rPr>
          <w:rFonts w:hint="eastAsia"/>
        </w:rPr>
        <w:t>基础</w:t>
      </w:r>
      <w:r>
        <w:tab/>
      </w:r>
      <w:r>
        <w:fldChar w:fldCharType="begin"/>
      </w:r>
      <w:r>
        <w:instrText xml:space="preserve"> PAGEREF _Toc29751 \h </w:instrText>
      </w:r>
      <w:r>
        <w:fldChar w:fldCharType="separate"/>
      </w:r>
      <w:r>
        <w:t>1</w:t>
      </w:r>
      <w:r>
        <w:fldChar w:fldCharType="end"/>
      </w:r>
      <w:r>
        <w:rPr>
          <w:rFonts w:eastAsia="黑体" w:cs="Times New Roman"/>
        </w:rPr>
        <w:fldChar w:fldCharType="end"/>
      </w:r>
    </w:p>
    <w:p w14:paraId="1FF121C4">
      <w:pPr>
        <w:pStyle w:val="15"/>
        <w:tabs>
          <w:tab w:val="right" w:leader="dot" w:pos="8844"/>
        </w:tabs>
      </w:pPr>
      <w:r>
        <w:rPr>
          <w:rFonts w:eastAsia="黑体" w:cs="Times New Roman"/>
        </w:rPr>
        <w:fldChar w:fldCharType="begin"/>
      </w:r>
      <w:r>
        <w:rPr>
          <w:rFonts w:eastAsia="黑体" w:cs="Times New Roman"/>
        </w:rPr>
        <w:instrText xml:space="preserve"> HYPERLINK \l _Toc10836 </w:instrText>
      </w:r>
      <w:r>
        <w:rPr>
          <w:rFonts w:eastAsia="黑体" w:cs="Times New Roman"/>
        </w:rPr>
        <w:fldChar w:fldCharType="separate"/>
      </w:r>
      <w:r>
        <w:rPr>
          <w:rFonts w:hint="eastAsia"/>
        </w:rPr>
        <w:t>（一）基本情况</w:t>
      </w:r>
      <w:r>
        <w:tab/>
      </w:r>
      <w:r>
        <w:fldChar w:fldCharType="begin"/>
      </w:r>
      <w:r>
        <w:instrText xml:space="preserve"> PAGEREF _Toc10836 \h </w:instrText>
      </w:r>
      <w:r>
        <w:fldChar w:fldCharType="separate"/>
      </w:r>
      <w:r>
        <w:t>1</w:t>
      </w:r>
      <w:r>
        <w:fldChar w:fldCharType="end"/>
      </w:r>
      <w:r>
        <w:rPr>
          <w:rFonts w:eastAsia="黑体" w:cs="Times New Roman"/>
        </w:rPr>
        <w:fldChar w:fldCharType="end"/>
      </w:r>
    </w:p>
    <w:p w14:paraId="3CE62F40">
      <w:pPr>
        <w:pStyle w:val="15"/>
        <w:tabs>
          <w:tab w:val="right" w:leader="dot" w:pos="8844"/>
        </w:tabs>
      </w:pPr>
      <w:r>
        <w:rPr>
          <w:rFonts w:eastAsia="黑体" w:cs="Times New Roman"/>
        </w:rPr>
        <w:fldChar w:fldCharType="begin"/>
      </w:r>
      <w:r>
        <w:rPr>
          <w:rFonts w:eastAsia="黑体" w:cs="Times New Roman"/>
        </w:rPr>
        <w:instrText xml:space="preserve"> HYPERLINK \l _Toc27345 </w:instrText>
      </w:r>
      <w:r>
        <w:rPr>
          <w:rFonts w:eastAsia="黑体" w:cs="Times New Roman"/>
        </w:rPr>
        <w:fldChar w:fldCharType="separate"/>
      </w:r>
      <w:r>
        <w:rPr>
          <w:rFonts w:hint="eastAsia"/>
          <w:highlight w:val="none"/>
        </w:rPr>
        <w:t>（二）能耗和碳排放情况</w:t>
      </w:r>
      <w:r>
        <w:tab/>
      </w:r>
      <w:r>
        <w:fldChar w:fldCharType="begin"/>
      </w:r>
      <w:r>
        <w:instrText xml:space="preserve"> PAGEREF _Toc27345 \h </w:instrText>
      </w:r>
      <w:r>
        <w:fldChar w:fldCharType="separate"/>
      </w:r>
      <w:r>
        <w:t>7</w:t>
      </w:r>
      <w:r>
        <w:fldChar w:fldCharType="end"/>
      </w:r>
      <w:r>
        <w:rPr>
          <w:rFonts w:eastAsia="黑体" w:cs="Times New Roman"/>
        </w:rPr>
        <w:fldChar w:fldCharType="end"/>
      </w:r>
    </w:p>
    <w:p w14:paraId="2E0FCA8B">
      <w:pPr>
        <w:pStyle w:val="15"/>
        <w:tabs>
          <w:tab w:val="right" w:leader="dot" w:pos="8844"/>
        </w:tabs>
      </w:pPr>
      <w:r>
        <w:rPr>
          <w:rFonts w:eastAsia="黑体" w:cs="Times New Roman"/>
        </w:rPr>
        <w:fldChar w:fldCharType="begin"/>
      </w:r>
      <w:r>
        <w:rPr>
          <w:rFonts w:eastAsia="黑体" w:cs="Times New Roman"/>
        </w:rPr>
        <w:instrText xml:space="preserve"> HYPERLINK \l _Toc11342 </w:instrText>
      </w:r>
      <w:r>
        <w:rPr>
          <w:rFonts w:eastAsia="黑体" w:cs="Times New Roman"/>
        </w:rPr>
        <w:fldChar w:fldCharType="separate"/>
      </w:r>
      <w:r>
        <w:rPr>
          <w:rFonts w:hint="eastAsia"/>
        </w:rPr>
        <w:t>（三）绿色低碳发展基础</w:t>
      </w:r>
      <w:r>
        <w:tab/>
      </w:r>
      <w:r>
        <w:fldChar w:fldCharType="begin"/>
      </w:r>
      <w:r>
        <w:instrText xml:space="preserve"> PAGEREF _Toc11342 \h </w:instrText>
      </w:r>
      <w:r>
        <w:fldChar w:fldCharType="separate"/>
      </w:r>
      <w:r>
        <w:t>11</w:t>
      </w:r>
      <w:r>
        <w:fldChar w:fldCharType="end"/>
      </w:r>
      <w:r>
        <w:rPr>
          <w:rFonts w:eastAsia="黑体" w:cs="Times New Roman"/>
        </w:rPr>
        <w:fldChar w:fldCharType="end"/>
      </w:r>
    </w:p>
    <w:p w14:paraId="55C51DF8">
      <w:pPr>
        <w:pStyle w:val="15"/>
        <w:tabs>
          <w:tab w:val="right" w:leader="dot" w:pos="8844"/>
        </w:tabs>
      </w:pPr>
      <w:r>
        <w:rPr>
          <w:rFonts w:eastAsia="黑体" w:cs="Times New Roman"/>
        </w:rPr>
        <w:fldChar w:fldCharType="begin"/>
      </w:r>
      <w:r>
        <w:rPr>
          <w:rFonts w:eastAsia="黑体" w:cs="Times New Roman"/>
        </w:rPr>
        <w:instrText xml:space="preserve"> HYPERLINK \l _Toc7340 </w:instrText>
      </w:r>
      <w:r>
        <w:rPr>
          <w:rFonts w:eastAsia="黑体" w:cs="Times New Roman"/>
        </w:rPr>
        <w:fldChar w:fldCharType="separate"/>
      </w:r>
      <w:r>
        <w:rPr>
          <w:rFonts w:hint="eastAsia"/>
        </w:rPr>
        <w:t>（四）碳减排难点分析</w:t>
      </w:r>
      <w:r>
        <w:tab/>
      </w:r>
      <w:r>
        <w:fldChar w:fldCharType="begin"/>
      </w:r>
      <w:r>
        <w:instrText xml:space="preserve"> PAGEREF _Toc7340 \h </w:instrText>
      </w:r>
      <w:r>
        <w:fldChar w:fldCharType="separate"/>
      </w:r>
      <w:r>
        <w:t>15</w:t>
      </w:r>
      <w:r>
        <w:fldChar w:fldCharType="end"/>
      </w:r>
      <w:r>
        <w:rPr>
          <w:rFonts w:eastAsia="黑体" w:cs="Times New Roman"/>
        </w:rPr>
        <w:fldChar w:fldCharType="end"/>
      </w:r>
    </w:p>
    <w:p w14:paraId="112C7993">
      <w:pPr>
        <w:pStyle w:val="13"/>
        <w:tabs>
          <w:tab w:val="right" w:leader="dot" w:pos="8844"/>
        </w:tabs>
      </w:pPr>
      <w:r>
        <w:rPr>
          <w:rFonts w:eastAsia="黑体" w:cs="Times New Roman"/>
        </w:rPr>
        <w:fldChar w:fldCharType="begin"/>
      </w:r>
      <w:r>
        <w:rPr>
          <w:rFonts w:eastAsia="黑体" w:cs="Times New Roman"/>
        </w:rPr>
        <w:instrText xml:space="preserve"> HYPERLINK \l _Toc13314 </w:instrText>
      </w:r>
      <w:r>
        <w:rPr>
          <w:rFonts w:eastAsia="黑体" w:cs="Times New Roman"/>
        </w:rPr>
        <w:fldChar w:fldCharType="separate"/>
      </w:r>
      <w:r>
        <w:rPr>
          <w:rFonts w:hint="eastAsia"/>
        </w:rPr>
        <w:t>二、</w:t>
      </w:r>
      <w:r>
        <w:rPr>
          <w:rFonts w:hint="eastAsia"/>
          <w:lang w:val="en-US" w:eastAsia="zh-CN"/>
        </w:rPr>
        <w:t>建设</w:t>
      </w:r>
      <w:r>
        <w:rPr>
          <w:rFonts w:hint="eastAsia"/>
        </w:rPr>
        <w:t>目标</w:t>
      </w:r>
      <w:r>
        <w:tab/>
      </w:r>
      <w:r>
        <w:fldChar w:fldCharType="begin"/>
      </w:r>
      <w:r>
        <w:instrText xml:space="preserve"> PAGEREF _Toc13314 \h </w:instrText>
      </w:r>
      <w:r>
        <w:fldChar w:fldCharType="separate"/>
      </w:r>
      <w:r>
        <w:t>17</w:t>
      </w:r>
      <w:r>
        <w:fldChar w:fldCharType="end"/>
      </w:r>
      <w:r>
        <w:rPr>
          <w:rFonts w:eastAsia="黑体" w:cs="Times New Roman"/>
        </w:rPr>
        <w:fldChar w:fldCharType="end"/>
      </w:r>
    </w:p>
    <w:p w14:paraId="6CDED21C">
      <w:pPr>
        <w:pStyle w:val="15"/>
        <w:tabs>
          <w:tab w:val="right" w:leader="dot" w:pos="8844"/>
        </w:tabs>
      </w:pPr>
      <w:r>
        <w:rPr>
          <w:rFonts w:eastAsia="黑体" w:cs="Times New Roman"/>
        </w:rPr>
        <w:fldChar w:fldCharType="begin"/>
      </w:r>
      <w:r>
        <w:rPr>
          <w:rFonts w:eastAsia="黑体" w:cs="Times New Roman"/>
        </w:rPr>
        <w:instrText xml:space="preserve"> HYPERLINK \l _Toc24542 </w:instrText>
      </w:r>
      <w:r>
        <w:rPr>
          <w:rFonts w:eastAsia="黑体" w:cs="Times New Roman"/>
        </w:rPr>
        <w:fldChar w:fldCharType="separate"/>
      </w:r>
      <w:r>
        <w:rPr>
          <w:rFonts w:hint="eastAsia"/>
        </w:rPr>
        <w:t>（一）</w:t>
      </w:r>
      <w:r>
        <w:rPr>
          <w:rFonts w:hint="eastAsia"/>
          <w:lang w:val="en-US" w:eastAsia="zh-CN"/>
        </w:rPr>
        <w:t>指导思想</w:t>
      </w:r>
      <w:r>
        <w:tab/>
      </w:r>
      <w:r>
        <w:fldChar w:fldCharType="begin"/>
      </w:r>
      <w:r>
        <w:instrText xml:space="preserve"> PAGEREF _Toc24542 \h </w:instrText>
      </w:r>
      <w:r>
        <w:fldChar w:fldCharType="separate"/>
      </w:r>
      <w:r>
        <w:t>17</w:t>
      </w:r>
      <w:r>
        <w:fldChar w:fldCharType="end"/>
      </w:r>
      <w:r>
        <w:rPr>
          <w:rFonts w:eastAsia="黑体" w:cs="Times New Roman"/>
        </w:rPr>
        <w:fldChar w:fldCharType="end"/>
      </w:r>
    </w:p>
    <w:p w14:paraId="7B9D598D">
      <w:pPr>
        <w:pStyle w:val="15"/>
        <w:tabs>
          <w:tab w:val="right" w:leader="dot" w:pos="8844"/>
        </w:tabs>
      </w:pPr>
      <w:r>
        <w:rPr>
          <w:rFonts w:eastAsia="黑体" w:cs="Times New Roman"/>
        </w:rPr>
        <w:fldChar w:fldCharType="begin"/>
      </w:r>
      <w:r>
        <w:rPr>
          <w:rFonts w:eastAsia="黑体" w:cs="Times New Roman"/>
        </w:rPr>
        <w:instrText xml:space="preserve"> HYPERLINK \l _Toc17700 </w:instrText>
      </w:r>
      <w:r>
        <w:rPr>
          <w:rFonts w:eastAsia="黑体" w:cs="Times New Roman"/>
        </w:rPr>
        <w:fldChar w:fldCharType="separate"/>
      </w:r>
      <w:r>
        <w:rPr>
          <w:rFonts w:hint="eastAsia"/>
          <w:lang w:val="en-US" w:eastAsia="zh-CN"/>
        </w:rPr>
        <w:t>（二）实施路径</w:t>
      </w:r>
      <w:r>
        <w:tab/>
      </w:r>
      <w:r>
        <w:fldChar w:fldCharType="begin"/>
      </w:r>
      <w:r>
        <w:instrText xml:space="preserve"> PAGEREF _Toc17700 \h </w:instrText>
      </w:r>
      <w:r>
        <w:fldChar w:fldCharType="separate"/>
      </w:r>
      <w:r>
        <w:t>17</w:t>
      </w:r>
      <w:r>
        <w:fldChar w:fldCharType="end"/>
      </w:r>
      <w:r>
        <w:rPr>
          <w:rFonts w:eastAsia="黑体" w:cs="Times New Roman"/>
        </w:rPr>
        <w:fldChar w:fldCharType="end"/>
      </w:r>
    </w:p>
    <w:p w14:paraId="15F187E5">
      <w:pPr>
        <w:pStyle w:val="15"/>
        <w:tabs>
          <w:tab w:val="right" w:leader="dot" w:pos="8844"/>
        </w:tabs>
      </w:pPr>
      <w:r>
        <w:rPr>
          <w:rFonts w:eastAsia="黑体" w:cs="Times New Roman"/>
        </w:rPr>
        <w:fldChar w:fldCharType="begin"/>
      </w:r>
      <w:r>
        <w:rPr>
          <w:rFonts w:eastAsia="黑体" w:cs="Times New Roman"/>
        </w:rPr>
        <w:instrText xml:space="preserve"> HYPERLINK \l _Toc24437 </w:instrText>
      </w:r>
      <w:r>
        <w:rPr>
          <w:rFonts w:eastAsia="黑体" w:cs="Times New Roman"/>
        </w:rPr>
        <w:fldChar w:fldCharType="separate"/>
      </w:r>
      <w:r>
        <w:rPr>
          <w:rFonts w:hint="eastAsia"/>
        </w:rPr>
        <w:t>（</w:t>
      </w:r>
      <w:r>
        <w:rPr>
          <w:rFonts w:hint="eastAsia"/>
          <w:lang w:val="en-US" w:eastAsia="zh-CN"/>
        </w:rPr>
        <w:t>三</w:t>
      </w:r>
      <w:r>
        <w:rPr>
          <w:rFonts w:hint="eastAsia"/>
        </w:rPr>
        <w:t>）主要目标</w:t>
      </w:r>
      <w:r>
        <w:tab/>
      </w:r>
      <w:r>
        <w:fldChar w:fldCharType="begin"/>
      </w:r>
      <w:r>
        <w:instrText xml:space="preserve"> PAGEREF _Toc24437 \h </w:instrText>
      </w:r>
      <w:r>
        <w:fldChar w:fldCharType="separate"/>
      </w:r>
      <w:r>
        <w:t>19</w:t>
      </w:r>
      <w:r>
        <w:fldChar w:fldCharType="end"/>
      </w:r>
      <w:r>
        <w:rPr>
          <w:rFonts w:eastAsia="黑体" w:cs="Times New Roman"/>
        </w:rPr>
        <w:fldChar w:fldCharType="end"/>
      </w:r>
    </w:p>
    <w:p w14:paraId="6D1F7733">
      <w:pPr>
        <w:pStyle w:val="13"/>
        <w:tabs>
          <w:tab w:val="right" w:leader="dot" w:pos="8844"/>
        </w:tabs>
      </w:pPr>
      <w:r>
        <w:rPr>
          <w:rFonts w:eastAsia="黑体" w:cs="Times New Roman"/>
        </w:rPr>
        <w:fldChar w:fldCharType="begin"/>
      </w:r>
      <w:r>
        <w:rPr>
          <w:rFonts w:eastAsia="黑体" w:cs="Times New Roman"/>
        </w:rPr>
        <w:instrText xml:space="preserve"> HYPERLINK \l _Toc25608 </w:instrText>
      </w:r>
      <w:r>
        <w:rPr>
          <w:rFonts w:eastAsia="黑体" w:cs="Times New Roman"/>
        </w:rPr>
        <w:fldChar w:fldCharType="separate"/>
      </w:r>
      <w:r>
        <w:rPr>
          <w:rFonts w:hint="eastAsia"/>
        </w:rPr>
        <w:t>三、重点任务</w:t>
      </w:r>
      <w:r>
        <w:tab/>
      </w:r>
      <w:r>
        <w:fldChar w:fldCharType="begin"/>
      </w:r>
      <w:r>
        <w:instrText xml:space="preserve"> PAGEREF _Toc25608 \h </w:instrText>
      </w:r>
      <w:r>
        <w:fldChar w:fldCharType="separate"/>
      </w:r>
      <w:r>
        <w:t>22</w:t>
      </w:r>
      <w:r>
        <w:fldChar w:fldCharType="end"/>
      </w:r>
      <w:r>
        <w:rPr>
          <w:rFonts w:eastAsia="黑体" w:cs="Times New Roman"/>
        </w:rPr>
        <w:fldChar w:fldCharType="end"/>
      </w:r>
    </w:p>
    <w:p w14:paraId="1C95BA48">
      <w:pPr>
        <w:pStyle w:val="15"/>
        <w:tabs>
          <w:tab w:val="right" w:leader="dot" w:pos="8844"/>
        </w:tabs>
      </w:pPr>
      <w:r>
        <w:rPr>
          <w:rFonts w:eastAsia="黑体" w:cs="Times New Roman"/>
        </w:rPr>
        <w:fldChar w:fldCharType="begin"/>
      </w:r>
      <w:r>
        <w:rPr>
          <w:rFonts w:eastAsia="黑体" w:cs="Times New Roman"/>
        </w:rPr>
        <w:instrText xml:space="preserve"> HYPERLINK \l _Toc1520 </w:instrText>
      </w:r>
      <w:r>
        <w:rPr>
          <w:rFonts w:eastAsia="黑体" w:cs="Times New Roman"/>
        </w:rPr>
        <w:fldChar w:fldCharType="separate"/>
      </w:r>
      <w:r>
        <w:rPr>
          <w:rFonts w:hint="eastAsia"/>
        </w:rPr>
        <w:t>（</w:t>
      </w:r>
      <w:r>
        <w:rPr>
          <w:rFonts w:hint="eastAsia"/>
          <w:lang w:val="en-US" w:eastAsia="zh-CN"/>
        </w:rPr>
        <w:t>一</w:t>
      </w:r>
      <w:r>
        <w:rPr>
          <w:rFonts w:hint="eastAsia"/>
        </w:rPr>
        <w:t>）推动产业</w:t>
      </w:r>
      <w:r>
        <w:rPr>
          <w:rFonts w:hint="eastAsia"/>
          <w:lang w:val="en-US" w:eastAsia="zh-CN"/>
        </w:rPr>
        <w:t>绿色低碳</w:t>
      </w:r>
      <w:r>
        <w:rPr>
          <w:rFonts w:hint="eastAsia"/>
        </w:rPr>
        <w:t>发展</w:t>
      </w:r>
      <w:r>
        <w:tab/>
      </w:r>
      <w:r>
        <w:fldChar w:fldCharType="begin"/>
      </w:r>
      <w:r>
        <w:instrText xml:space="preserve"> PAGEREF _Toc1520 \h </w:instrText>
      </w:r>
      <w:r>
        <w:fldChar w:fldCharType="separate"/>
      </w:r>
      <w:r>
        <w:t>22</w:t>
      </w:r>
      <w:r>
        <w:fldChar w:fldCharType="end"/>
      </w:r>
      <w:r>
        <w:rPr>
          <w:rFonts w:eastAsia="黑体" w:cs="Times New Roman"/>
        </w:rPr>
        <w:fldChar w:fldCharType="end"/>
      </w:r>
    </w:p>
    <w:p w14:paraId="2F55FA63">
      <w:pPr>
        <w:pStyle w:val="15"/>
        <w:tabs>
          <w:tab w:val="right" w:leader="dot" w:pos="8844"/>
        </w:tabs>
      </w:pPr>
      <w:r>
        <w:rPr>
          <w:rFonts w:eastAsia="黑体" w:cs="Times New Roman"/>
        </w:rPr>
        <w:fldChar w:fldCharType="begin"/>
      </w:r>
      <w:r>
        <w:rPr>
          <w:rFonts w:eastAsia="黑体" w:cs="Times New Roman"/>
        </w:rPr>
        <w:instrText xml:space="preserve"> HYPERLINK \l _Toc21185 </w:instrText>
      </w:r>
      <w:r>
        <w:rPr>
          <w:rFonts w:eastAsia="黑体" w:cs="Times New Roman"/>
        </w:rPr>
        <w:fldChar w:fldCharType="separate"/>
      </w:r>
      <w:r>
        <w:rPr>
          <w:rFonts w:hint="eastAsia"/>
        </w:rPr>
        <w:t>（</w:t>
      </w:r>
      <w:r>
        <w:rPr>
          <w:rFonts w:hint="eastAsia"/>
          <w:lang w:val="en-US" w:eastAsia="zh-CN"/>
        </w:rPr>
        <w:t>二</w:t>
      </w:r>
      <w:r>
        <w:rPr>
          <w:rFonts w:hint="eastAsia"/>
        </w:rPr>
        <w:t>）</w:t>
      </w:r>
      <w:r>
        <w:rPr>
          <w:rFonts w:hint="eastAsia"/>
          <w:lang w:val="en-US" w:eastAsia="zh-CN"/>
        </w:rPr>
        <w:t>加快能源绿色低碳转型</w:t>
      </w:r>
      <w:r>
        <w:tab/>
      </w:r>
      <w:r>
        <w:fldChar w:fldCharType="begin"/>
      </w:r>
      <w:r>
        <w:instrText xml:space="preserve"> PAGEREF _Toc21185 \h </w:instrText>
      </w:r>
      <w:r>
        <w:fldChar w:fldCharType="separate"/>
      </w:r>
      <w:r>
        <w:t>26</w:t>
      </w:r>
      <w:r>
        <w:fldChar w:fldCharType="end"/>
      </w:r>
      <w:r>
        <w:rPr>
          <w:rFonts w:eastAsia="黑体" w:cs="Times New Roman"/>
        </w:rPr>
        <w:fldChar w:fldCharType="end"/>
      </w:r>
    </w:p>
    <w:p w14:paraId="53E149B1">
      <w:pPr>
        <w:pStyle w:val="15"/>
        <w:tabs>
          <w:tab w:val="right" w:leader="dot" w:pos="8844"/>
        </w:tabs>
      </w:pPr>
      <w:r>
        <w:rPr>
          <w:rFonts w:eastAsia="黑体" w:cs="Times New Roman"/>
        </w:rPr>
        <w:fldChar w:fldCharType="begin"/>
      </w:r>
      <w:r>
        <w:rPr>
          <w:rFonts w:eastAsia="黑体" w:cs="Times New Roman"/>
        </w:rPr>
        <w:instrText xml:space="preserve"> HYPERLINK \l _Toc20574 </w:instrText>
      </w:r>
      <w:r>
        <w:rPr>
          <w:rFonts w:eastAsia="黑体" w:cs="Times New Roman"/>
        </w:rPr>
        <w:fldChar w:fldCharType="separate"/>
      </w:r>
      <w:r>
        <w:rPr>
          <w:rFonts w:hint="eastAsia"/>
        </w:rPr>
        <w:t>（三）</w:t>
      </w:r>
      <w:r>
        <w:rPr>
          <w:rFonts w:hint="eastAsia"/>
          <w:lang w:val="en-US" w:eastAsia="zh-CN"/>
        </w:rPr>
        <w:t>提升基础设施绿色低碳水平</w:t>
      </w:r>
      <w:r>
        <w:tab/>
      </w:r>
      <w:r>
        <w:fldChar w:fldCharType="begin"/>
      </w:r>
      <w:r>
        <w:instrText xml:space="preserve"> PAGEREF _Toc20574 \h </w:instrText>
      </w:r>
      <w:r>
        <w:fldChar w:fldCharType="separate"/>
      </w:r>
      <w:r>
        <w:t>29</w:t>
      </w:r>
      <w:r>
        <w:fldChar w:fldCharType="end"/>
      </w:r>
      <w:r>
        <w:rPr>
          <w:rFonts w:eastAsia="黑体" w:cs="Times New Roman"/>
        </w:rPr>
        <w:fldChar w:fldCharType="end"/>
      </w:r>
    </w:p>
    <w:p w14:paraId="0BFE9E8E">
      <w:pPr>
        <w:pStyle w:val="15"/>
        <w:tabs>
          <w:tab w:val="right" w:leader="dot" w:pos="8844"/>
        </w:tabs>
      </w:pPr>
      <w:r>
        <w:rPr>
          <w:rFonts w:eastAsia="黑体" w:cs="Times New Roman"/>
        </w:rPr>
        <w:fldChar w:fldCharType="begin"/>
      </w:r>
      <w:r>
        <w:rPr>
          <w:rFonts w:eastAsia="黑体" w:cs="Times New Roman"/>
        </w:rPr>
        <w:instrText xml:space="preserve"> HYPERLINK \l _Toc30794 </w:instrText>
      </w:r>
      <w:r>
        <w:rPr>
          <w:rFonts w:eastAsia="黑体" w:cs="Times New Roman"/>
        </w:rPr>
        <w:fldChar w:fldCharType="separate"/>
      </w:r>
      <w:r>
        <w:rPr>
          <w:rFonts w:hint="eastAsia"/>
        </w:rPr>
        <w:t>（四）大力推动资源循环利用</w:t>
      </w:r>
      <w:r>
        <w:tab/>
      </w:r>
      <w:r>
        <w:fldChar w:fldCharType="begin"/>
      </w:r>
      <w:r>
        <w:instrText xml:space="preserve"> PAGEREF _Toc30794 \h </w:instrText>
      </w:r>
      <w:r>
        <w:fldChar w:fldCharType="separate"/>
      </w:r>
      <w:r>
        <w:t>32</w:t>
      </w:r>
      <w:r>
        <w:fldChar w:fldCharType="end"/>
      </w:r>
      <w:r>
        <w:rPr>
          <w:rFonts w:eastAsia="黑体" w:cs="Times New Roman"/>
        </w:rPr>
        <w:fldChar w:fldCharType="end"/>
      </w:r>
    </w:p>
    <w:p w14:paraId="250B558B">
      <w:pPr>
        <w:pStyle w:val="15"/>
        <w:tabs>
          <w:tab w:val="right" w:leader="dot" w:pos="8844"/>
        </w:tabs>
      </w:pPr>
      <w:r>
        <w:rPr>
          <w:rFonts w:eastAsia="黑体" w:cs="Times New Roman"/>
        </w:rPr>
        <w:fldChar w:fldCharType="begin"/>
      </w:r>
      <w:r>
        <w:rPr>
          <w:rFonts w:eastAsia="黑体" w:cs="Times New Roman"/>
        </w:rPr>
        <w:instrText xml:space="preserve"> HYPERLINK \l _Toc30568 </w:instrText>
      </w:r>
      <w:r>
        <w:rPr>
          <w:rFonts w:eastAsia="黑体" w:cs="Times New Roman"/>
        </w:rPr>
        <w:fldChar w:fldCharType="separate"/>
      </w:r>
      <w:r>
        <w:rPr>
          <w:rFonts w:hint="eastAsia"/>
        </w:rPr>
        <w:t>（五）提升减污降碳协同能力</w:t>
      </w:r>
      <w:r>
        <w:tab/>
      </w:r>
      <w:r>
        <w:fldChar w:fldCharType="begin"/>
      </w:r>
      <w:r>
        <w:instrText xml:space="preserve"> PAGEREF _Toc30568 \h </w:instrText>
      </w:r>
      <w:r>
        <w:fldChar w:fldCharType="separate"/>
      </w:r>
      <w:r>
        <w:t>36</w:t>
      </w:r>
      <w:r>
        <w:fldChar w:fldCharType="end"/>
      </w:r>
      <w:r>
        <w:rPr>
          <w:rFonts w:eastAsia="黑体" w:cs="Times New Roman"/>
        </w:rPr>
        <w:fldChar w:fldCharType="end"/>
      </w:r>
    </w:p>
    <w:p w14:paraId="03F025D8">
      <w:pPr>
        <w:pStyle w:val="13"/>
        <w:tabs>
          <w:tab w:val="right" w:leader="dot" w:pos="8844"/>
        </w:tabs>
      </w:pPr>
      <w:r>
        <w:rPr>
          <w:rFonts w:eastAsia="黑体" w:cs="Times New Roman"/>
        </w:rPr>
        <w:fldChar w:fldCharType="begin"/>
      </w:r>
      <w:r>
        <w:rPr>
          <w:rFonts w:eastAsia="黑体" w:cs="Times New Roman"/>
        </w:rPr>
        <w:instrText xml:space="preserve"> HYPERLINK \l _Toc18904 </w:instrText>
      </w:r>
      <w:r>
        <w:rPr>
          <w:rFonts w:eastAsia="黑体" w:cs="Times New Roman"/>
        </w:rPr>
        <w:fldChar w:fldCharType="separate"/>
      </w:r>
      <w:r>
        <w:rPr>
          <w:rFonts w:hint="eastAsia"/>
        </w:rPr>
        <w:t>四、科技创新</w:t>
      </w:r>
      <w:r>
        <w:tab/>
      </w:r>
      <w:r>
        <w:fldChar w:fldCharType="begin"/>
      </w:r>
      <w:r>
        <w:instrText xml:space="preserve"> PAGEREF _Toc18904 \h </w:instrText>
      </w:r>
      <w:r>
        <w:fldChar w:fldCharType="separate"/>
      </w:r>
      <w:r>
        <w:t>40</w:t>
      </w:r>
      <w:r>
        <w:fldChar w:fldCharType="end"/>
      </w:r>
      <w:r>
        <w:rPr>
          <w:rFonts w:eastAsia="黑体" w:cs="Times New Roman"/>
        </w:rPr>
        <w:fldChar w:fldCharType="end"/>
      </w:r>
    </w:p>
    <w:p w14:paraId="43DEBF10">
      <w:pPr>
        <w:pStyle w:val="15"/>
        <w:tabs>
          <w:tab w:val="right" w:leader="dot" w:pos="8844"/>
        </w:tabs>
      </w:pPr>
      <w:r>
        <w:rPr>
          <w:rFonts w:eastAsia="黑体" w:cs="Times New Roman"/>
        </w:rPr>
        <w:fldChar w:fldCharType="begin"/>
      </w:r>
      <w:r>
        <w:rPr>
          <w:rFonts w:eastAsia="黑体" w:cs="Times New Roman"/>
        </w:rPr>
        <w:instrText xml:space="preserve"> HYPERLINK \l _Toc1501 </w:instrText>
      </w:r>
      <w:r>
        <w:rPr>
          <w:rFonts w:eastAsia="黑体" w:cs="Times New Roman"/>
        </w:rPr>
        <w:fldChar w:fldCharType="separate"/>
      </w:r>
      <w:r>
        <w:rPr>
          <w:rFonts w:hint="eastAsia"/>
        </w:rPr>
        <w:t>（一）健全绿色低碳科技创新体制机制</w:t>
      </w:r>
      <w:r>
        <w:tab/>
      </w:r>
      <w:r>
        <w:fldChar w:fldCharType="begin"/>
      </w:r>
      <w:r>
        <w:instrText xml:space="preserve"> PAGEREF _Toc1501 \h </w:instrText>
      </w:r>
      <w:r>
        <w:fldChar w:fldCharType="separate"/>
      </w:r>
      <w:r>
        <w:t>40</w:t>
      </w:r>
      <w:r>
        <w:fldChar w:fldCharType="end"/>
      </w:r>
      <w:r>
        <w:rPr>
          <w:rFonts w:eastAsia="黑体" w:cs="Times New Roman"/>
        </w:rPr>
        <w:fldChar w:fldCharType="end"/>
      </w:r>
    </w:p>
    <w:p w14:paraId="20EEF814">
      <w:pPr>
        <w:pStyle w:val="15"/>
        <w:tabs>
          <w:tab w:val="right" w:leader="dot" w:pos="8844"/>
        </w:tabs>
      </w:pPr>
      <w:r>
        <w:rPr>
          <w:rFonts w:eastAsia="黑体" w:cs="Times New Roman"/>
        </w:rPr>
        <w:fldChar w:fldCharType="begin"/>
      </w:r>
      <w:r>
        <w:rPr>
          <w:rFonts w:eastAsia="黑体" w:cs="Times New Roman"/>
        </w:rPr>
        <w:instrText xml:space="preserve"> HYPERLINK \l _Toc4030 </w:instrText>
      </w:r>
      <w:r>
        <w:rPr>
          <w:rFonts w:eastAsia="黑体" w:cs="Times New Roman"/>
        </w:rPr>
        <w:fldChar w:fldCharType="separate"/>
      </w:r>
      <w:r>
        <w:rPr>
          <w:rFonts w:hint="eastAsia"/>
        </w:rPr>
        <w:t>（二）推进绿色科技创新平台建设</w:t>
      </w:r>
      <w:r>
        <w:tab/>
      </w:r>
      <w:r>
        <w:fldChar w:fldCharType="begin"/>
      </w:r>
      <w:r>
        <w:instrText xml:space="preserve"> PAGEREF _Toc4030 \h </w:instrText>
      </w:r>
      <w:r>
        <w:fldChar w:fldCharType="separate"/>
      </w:r>
      <w:r>
        <w:t>40</w:t>
      </w:r>
      <w:r>
        <w:fldChar w:fldCharType="end"/>
      </w:r>
      <w:r>
        <w:rPr>
          <w:rFonts w:eastAsia="黑体" w:cs="Times New Roman"/>
        </w:rPr>
        <w:fldChar w:fldCharType="end"/>
      </w:r>
    </w:p>
    <w:p w14:paraId="6B29BFDA">
      <w:pPr>
        <w:pStyle w:val="15"/>
        <w:tabs>
          <w:tab w:val="right" w:leader="dot" w:pos="8844"/>
        </w:tabs>
      </w:pPr>
      <w:r>
        <w:rPr>
          <w:rFonts w:eastAsia="黑体" w:cs="Times New Roman"/>
        </w:rPr>
        <w:fldChar w:fldCharType="begin"/>
      </w:r>
      <w:r>
        <w:rPr>
          <w:rFonts w:eastAsia="黑体" w:cs="Times New Roman"/>
        </w:rPr>
        <w:instrText xml:space="preserve"> HYPERLINK \l _Toc28796 </w:instrText>
      </w:r>
      <w:r>
        <w:rPr>
          <w:rFonts w:eastAsia="黑体" w:cs="Times New Roman"/>
        </w:rPr>
        <w:fldChar w:fldCharType="separate"/>
      </w:r>
      <w:r>
        <w:rPr>
          <w:rFonts w:hint="eastAsia"/>
        </w:rPr>
        <w:t>（</w:t>
      </w:r>
      <w:r>
        <w:rPr>
          <w:rFonts w:hint="eastAsia"/>
          <w:lang w:val="en-US" w:eastAsia="zh-CN"/>
        </w:rPr>
        <w:t>三</w:t>
      </w:r>
      <w:r>
        <w:rPr>
          <w:rFonts w:hint="eastAsia"/>
        </w:rPr>
        <w:t>）推动绿色产学研深度融合</w:t>
      </w:r>
      <w:r>
        <w:tab/>
      </w:r>
      <w:r>
        <w:fldChar w:fldCharType="begin"/>
      </w:r>
      <w:r>
        <w:instrText xml:space="preserve"> PAGEREF _Toc28796 \h </w:instrText>
      </w:r>
      <w:r>
        <w:fldChar w:fldCharType="separate"/>
      </w:r>
      <w:r>
        <w:t>41</w:t>
      </w:r>
      <w:r>
        <w:fldChar w:fldCharType="end"/>
      </w:r>
      <w:r>
        <w:rPr>
          <w:rFonts w:eastAsia="黑体" w:cs="Times New Roman"/>
        </w:rPr>
        <w:fldChar w:fldCharType="end"/>
      </w:r>
    </w:p>
    <w:p w14:paraId="59F27739">
      <w:pPr>
        <w:pStyle w:val="15"/>
        <w:tabs>
          <w:tab w:val="right" w:leader="dot" w:pos="8844"/>
        </w:tabs>
      </w:pPr>
      <w:r>
        <w:rPr>
          <w:rFonts w:eastAsia="黑体" w:cs="Times New Roman"/>
        </w:rPr>
        <w:fldChar w:fldCharType="begin"/>
      </w:r>
      <w:r>
        <w:rPr>
          <w:rFonts w:eastAsia="黑体" w:cs="Times New Roman"/>
        </w:rPr>
        <w:instrText xml:space="preserve"> HYPERLINK \l _Toc27285 </w:instrText>
      </w:r>
      <w:r>
        <w:rPr>
          <w:rFonts w:eastAsia="黑体" w:cs="Times New Roman"/>
        </w:rPr>
        <w:fldChar w:fldCharType="separate"/>
      </w:r>
      <w:r>
        <w:rPr>
          <w:rFonts w:hint="eastAsia"/>
        </w:rPr>
        <w:t>（</w:t>
      </w:r>
      <w:r>
        <w:rPr>
          <w:rFonts w:hint="eastAsia"/>
          <w:lang w:val="en-US" w:eastAsia="zh-CN"/>
        </w:rPr>
        <w:t>四</w:t>
      </w:r>
      <w:r>
        <w:rPr>
          <w:rFonts w:hint="eastAsia"/>
        </w:rPr>
        <w:t>）加快先进适用技术研发和推广应用</w:t>
      </w:r>
      <w:r>
        <w:tab/>
      </w:r>
      <w:r>
        <w:fldChar w:fldCharType="begin"/>
      </w:r>
      <w:r>
        <w:instrText xml:space="preserve"> PAGEREF _Toc27285 \h </w:instrText>
      </w:r>
      <w:r>
        <w:fldChar w:fldCharType="separate"/>
      </w:r>
      <w:r>
        <w:t>42</w:t>
      </w:r>
      <w:r>
        <w:fldChar w:fldCharType="end"/>
      </w:r>
      <w:r>
        <w:rPr>
          <w:rFonts w:eastAsia="黑体" w:cs="Times New Roman"/>
        </w:rPr>
        <w:fldChar w:fldCharType="end"/>
      </w:r>
    </w:p>
    <w:p w14:paraId="7E0DA4A1">
      <w:pPr>
        <w:pStyle w:val="13"/>
        <w:tabs>
          <w:tab w:val="right" w:leader="dot" w:pos="8844"/>
        </w:tabs>
      </w:pPr>
      <w:r>
        <w:rPr>
          <w:rFonts w:eastAsia="黑体" w:cs="Times New Roman"/>
        </w:rPr>
        <w:fldChar w:fldCharType="begin"/>
      </w:r>
      <w:r>
        <w:rPr>
          <w:rFonts w:eastAsia="黑体" w:cs="Times New Roman"/>
        </w:rPr>
        <w:instrText xml:space="preserve"> HYPERLINK \l _Toc8449 </w:instrText>
      </w:r>
      <w:r>
        <w:rPr>
          <w:rFonts w:eastAsia="黑体" w:cs="Times New Roman"/>
        </w:rPr>
        <w:fldChar w:fldCharType="separate"/>
      </w:r>
      <w:r>
        <w:rPr>
          <w:rFonts w:hint="eastAsia"/>
          <w:highlight w:val="none"/>
        </w:rPr>
        <w:t>五、重点工程（滚动更新）</w:t>
      </w:r>
      <w:r>
        <w:tab/>
      </w:r>
      <w:r>
        <w:fldChar w:fldCharType="begin"/>
      </w:r>
      <w:r>
        <w:instrText xml:space="preserve"> PAGEREF _Toc8449 \h </w:instrText>
      </w:r>
      <w:r>
        <w:fldChar w:fldCharType="separate"/>
      </w:r>
      <w:r>
        <w:t>44</w:t>
      </w:r>
      <w:r>
        <w:fldChar w:fldCharType="end"/>
      </w:r>
      <w:r>
        <w:rPr>
          <w:rFonts w:eastAsia="黑体" w:cs="Times New Roman"/>
        </w:rPr>
        <w:fldChar w:fldCharType="end"/>
      </w:r>
    </w:p>
    <w:p w14:paraId="058480CE">
      <w:pPr>
        <w:pStyle w:val="15"/>
        <w:tabs>
          <w:tab w:val="right" w:leader="dot" w:pos="8844"/>
        </w:tabs>
      </w:pPr>
      <w:r>
        <w:rPr>
          <w:rFonts w:eastAsia="黑体" w:cs="Times New Roman"/>
        </w:rPr>
        <w:fldChar w:fldCharType="begin"/>
      </w:r>
      <w:r>
        <w:rPr>
          <w:rFonts w:eastAsia="黑体" w:cs="Times New Roman"/>
        </w:rPr>
        <w:instrText xml:space="preserve"> HYPERLINK \l _Toc25222 </w:instrText>
      </w:r>
      <w:r>
        <w:rPr>
          <w:rFonts w:eastAsia="黑体" w:cs="Times New Roman"/>
        </w:rPr>
        <w:fldChar w:fldCharType="separate"/>
      </w:r>
      <w:r>
        <w:rPr>
          <w:rFonts w:hint="eastAsia"/>
        </w:rPr>
        <w:t>（</w:t>
      </w:r>
      <w:r>
        <w:rPr>
          <w:rFonts w:hint="eastAsia"/>
          <w:lang w:val="en-US" w:eastAsia="zh-CN"/>
        </w:rPr>
        <w:t>一</w:t>
      </w:r>
      <w:r>
        <w:rPr>
          <w:rFonts w:hint="eastAsia"/>
        </w:rPr>
        <w:t>）产业绿色发展</w:t>
      </w:r>
      <w:r>
        <w:rPr>
          <w:rFonts w:hint="eastAsia"/>
          <w:lang w:val="en-US" w:eastAsia="zh-CN"/>
        </w:rPr>
        <w:t>项目</w:t>
      </w:r>
      <w:r>
        <w:tab/>
      </w:r>
      <w:r>
        <w:fldChar w:fldCharType="begin"/>
      </w:r>
      <w:r>
        <w:instrText xml:space="preserve"> PAGEREF _Toc25222 \h </w:instrText>
      </w:r>
      <w:r>
        <w:fldChar w:fldCharType="separate"/>
      </w:r>
      <w:r>
        <w:t>44</w:t>
      </w:r>
      <w:r>
        <w:fldChar w:fldCharType="end"/>
      </w:r>
      <w:r>
        <w:rPr>
          <w:rFonts w:eastAsia="黑体" w:cs="Times New Roman"/>
        </w:rPr>
        <w:fldChar w:fldCharType="end"/>
      </w:r>
    </w:p>
    <w:p w14:paraId="018393EA">
      <w:pPr>
        <w:pStyle w:val="15"/>
        <w:tabs>
          <w:tab w:val="right" w:leader="dot" w:pos="8844"/>
        </w:tabs>
      </w:pPr>
      <w:r>
        <w:rPr>
          <w:rFonts w:eastAsia="黑体" w:cs="Times New Roman"/>
        </w:rPr>
        <w:fldChar w:fldCharType="begin"/>
      </w:r>
      <w:r>
        <w:rPr>
          <w:rFonts w:eastAsia="黑体" w:cs="Times New Roman"/>
        </w:rPr>
        <w:instrText xml:space="preserve"> HYPERLINK \l _Toc14030 </w:instrText>
      </w:r>
      <w:r>
        <w:rPr>
          <w:rFonts w:eastAsia="黑体" w:cs="Times New Roman"/>
        </w:rPr>
        <w:fldChar w:fldCharType="separate"/>
      </w:r>
      <w:r>
        <w:rPr>
          <w:rFonts w:hint="eastAsia"/>
        </w:rPr>
        <w:t>（</w:t>
      </w:r>
      <w:r>
        <w:rPr>
          <w:rFonts w:hint="eastAsia"/>
          <w:lang w:val="en-US" w:eastAsia="zh-CN"/>
        </w:rPr>
        <w:t>二</w:t>
      </w:r>
      <w:r>
        <w:rPr>
          <w:rFonts w:hint="eastAsia"/>
        </w:rPr>
        <w:t>）</w:t>
      </w:r>
      <w:r>
        <w:rPr>
          <w:rFonts w:hint="eastAsia"/>
          <w:lang w:val="en-US" w:eastAsia="zh-CN"/>
        </w:rPr>
        <w:t>能源基础设施项目</w:t>
      </w:r>
      <w:r>
        <w:tab/>
      </w:r>
      <w:r>
        <w:fldChar w:fldCharType="begin"/>
      </w:r>
      <w:r>
        <w:instrText xml:space="preserve"> PAGEREF _Toc14030 \h </w:instrText>
      </w:r>
      <w:r>
        <w:fldChar w:fldCharType="separate"/>
      </w:r>
      <w:r>
        <w:t>45</w:t>
      </w:r>
      <w:r>
        <w:fldChar w:fldCharType="end"/>
      </w:r>
      <w:r>
        <w:rPr>
          <w:rFonts w:eastAsia="黑体" w:cs="Times New Roman"/>
        </w:rPr>
        <w:fldChar w:fldCharType="end"/>
      </w:r>
    </w:p>
    <w:p w14:paraId="11A5D4DB">
      <w:pPr>
        <w:pStyle w:val="15"/>
        <w:tabs>
          <w:tab w:val="right" w:leader="dot" w:pos="8844"/>
        </w:tabs>
      </w:pPr>
      <w:r>
        <w:rPr>
          <w:rFonts w:eastAsia="黑体" w:cs="Times New Roman"/>
        </w:rPr>
        <w:fldChar w:fldCharType="begin"/>
      </w:r>
      <w:r>
        <w:rPr>
          <w:rFonts w:eastAsia="黑体" w:cs="Times New Roman"/>
        </w:rPr>
        <w:instrText xml:space="preserve"> HYPERLINK \l _Toc23006 </w:instrText>
      </w:r>
      <w:r>
        <w:rPr>
          <w:rFonts w:eastAsia="黑体" w:cs="Times New Roman"/>
        </w:rPr>
        <w:fldChar w:fldCharType="separate"/>
      </w:r>
      <w:r>
        <w:rPr>
          <w:rFonts w:hint="eastAsia"/>
        </w:rPr>
        <w:t>（</w:t>
      </w:r>
      <w:r>
        <w:rPr>
          <w:rFonts w:hint="eastAsia"/>
          <w:lang w:val="en-US" w:eastAsia="zh-CN"/>
        </w:rPr>
        <w:t>三</w:t>
      </w:r>
      <w:r>
        <w:rPr>
          <w:rFonts w:hint="eastAsia"/>
        </w:rPr>
        <w:t>）</w:t>
      </w:r>
      <w:r>
        <w:rPr>
          <w:rFonts w:hint="eastAsia"/>
          <w:lang w:val="en-US" w:eastAsia="zh-CN"/>
        </w:rPr>
        <w:t>节能降碳改造项目</w:t>
      </w:r>
      <w:r>
        <w:tab/>
      </w:r>
      <w:r>
        <w:fldChar w:fldCharType="begin"/>
      </w:r>
      <w:r>
        <w:instrText xml:space="preserve"> PAGEREF _Toc23006 \h </w:instrText>
      </w:r>
      <w:r>
        <w:fldChar w:fldCharType="separate"/>
      </w:r>
      <w:r>
        <w:t>46</w:t>
      </w:r>
      <w:r>
        <w:fldChar w:fldCharType="end"/>
      </w:r>
      <w:r>
        <w:rPr>
          <w:rFonts w:eastAsia="黑体" w:cs="Times New Roman"/>
        </w:rPr>
        <w:fldChar w:fldCharType="end"/>
      </w:r>
    </w:p>
    <w:p w14:paraId="32C568E5">
      <w:pPr>
        <w:pStyle w:val="15"/>
        <w:tabs>
          <w:tab w:val="right" w:leader="dot" w:pos="8844"/>
        </w:tabs>
      </w:pPr>
      <w:r>
        <w:rPr>
          <w:rFonts w:eastAsia="黑体" w:cs="Times New Roman"/>
        </w:rPr>
        <w:fldChar w:fldCharType="begin"/>
      </w:r>
      <w:r>
        <w:rPr>
          <w:rFonts w:eastAsia="黑体" w:cs="Times New Roman"/>
        </w:rPr>
        <w:instrText xml:space="preserve"> HYPERLINK \l _Toc4517 </w:instrText>
      </w:r>
      <w:r>
        <w:rPr>
          <w:rFonts w:eastAsia="黑体" w:cs="Times New Roman"/>
        </w:rPr>
        <w:fldChar w:fldCharType="separate"/>
      </w:r>
      <w:r>
        <w:rPr>
          <w:rFonts w:hint="eastAsia"/>
        </w:rPr>
        <w:t>（</w:t>
      </w:r>
      <w:r>
        <w:rPr>
          <w:rFonts w:hint="eastAsia"/>
          <w:lang w:val="en-US" w:eastAsia="zh-CN"/>
        </w:rPr>
        <w:t>四</w:t>
      </w:r>
      <w:r>
        <w:rPr>
          <w:rFonts w:hint="eastAsia"/>
        </w:rPr>
        <w:t>）</w:t>
      </w:r>
      <w:r>
        <w:rPr>
          <w:rFonts w:hint="eastAsia"/>
          <w:lang w:val="en-US" w:eastAsia="zh-CN"/>
        </w:rPr>
        <w:t>绿色低碳先进技术示范项目</w:t>
      </w:r>
      <w:r>
        <w:tab/>
      </w:r>
      <w:r>
        <w:fldChar w:fldCharType="begin"/>
      </w:r>
      <w:r>
        <w:instrText xml:space="preserve"> PAGEREF _Toc4517 \h </w:instrText>
      </w:r>
      <w:r>
        <w:fldChar w:fldCharType="separate"/>
      </w:r>
      <w:r>
        <w:t>47</w:t>
      </w:r>
      <w:r>
        <w:fldChar w:fldCharType="end"/>
      </w:r>
      <w:r>
        <w:rPr>
          <w:rFonts w:eastAsia="黑体" w:cs="Times New Roman"/>
        </w:rPr>
        <w:fldChar w:fldCharType="end"/>
      </w:r>
    </w:p>
    <w:p w14:paraId="5673824D">
      <w:pPr>
        <w:pStyle w:val="15"/>
        <w:tabs>
          <w:tab w:val="right" w:leader="dot" w:pos="8844"/>
        </w:tabs>
      </w:pPr>
      <w:r>
        <w:rPr>
          <w:rFonts w:eastAsia="黑体" w:cs="Times New Roman"/>
        </w:rPr>
        <w:fldChar w:fldCharType="begin"/>
      </w:r>
      <w:r>
        <w:rPr>
          <w:rFonts w:eastAsia="黑体" w:cs="Times New Roman"/>
        </w:rPr>
        <w:instrText xml:space="preserve"> HYPERLINK \l _Toc17756 </w:instrText>
      </w:r>
      <w:r>
        <w:rPr>
          <w:rFonts w:eastAsia="黑体" w:cs="Times New Roman"/>
        </w:rPr>
        <w:fldChar w:fldCharType="separate"/>
      </w:r>
      <w:r>
        <w:rPr>
          <w:rFonts w:hint="eastAsia"/>
        </w:rPr>
        <w:t>（</w:t>
      </w:r>
      <w:r>
        <w:rPr>
          <w:rFonts w:hint="eastAsia"/>
          <w:lang w:val="en-US" w:eastAsia="zh-CN"/>
        </w:rPr>
        <w:t>五</w:t>
      </w:r>
      <w:r>
        <w:rPr>
          <w:rFonts w:hint="eastAsia"/>
        </w:rPr>
        <w:t>）</w:t>
      </w:r>
      <w:r>
        <w:rPr>
          <w:rFonts w:hint="eastAsia"/>
          <w:lang w:val="en-US" w:eastAsia="zh-CN"/>
        </w:rPr>
        <w:t>绿色建筑交通项目</w:t>
      </w:r>
      <w:r>
        <w:tab/>
      </w:r>
      <w:r>
        <w:fldChar w:fldCharType="begin"/>
      </w:r>
      <w:r>
        <w:instrText xml:space="preserve"> PAGEREF _Toc17756 \h </w:instrText>
      </w:r>
      <w:r>
        <w:fldChar w:fldCharType="separate"/>
      </w:r>
      <w:r>
        <w:t>49</w:t>
      </w:r>
      <w:r>
        <w:fldChar w:fldCharType="end"/>
      </w:r>
      <w:r>
        <w:rPr>
          <w:rFonts w:eastAsia="黑体" w:cs="Times New Roman"/>
        </w:rPr>
        <w:fldChar w:fldCharType="end"/>
      </w:r>
    </w:p>
    <w:p w14:paraId="6A4587D2">
      <w:pPr>
        <w:pStyle w:val="15"/>
        <w:tabs>
          <w:tab w:val="right" w:leader="dot" w:pos="8844"/>
        </w:tabs>
      </w:pPr>
      <w:r>
        <w:rPr>
          <w:rFonts w:eastAsia="黑体" w:cs="Times New Roman"/>
        </w:rPr>
        <w:fldChar w:fldCharType="begin"/>
      </w:r>
      <w:r>
        <w:rPr>
          <w:rFonts w:eastAsia="黑体" w:cs="Times New Roman"/>
        </w:rPr>
        <w:instrText xml:space="preserve"> HYPERLINK \l _Toc8003 </w:instrText>
      </w:r>
      <w:r>
        <w:rPr>
          <w:rFonts w:eastAsia="黑体" w:cs="Times New Roman"/>
        </w:rPr>
        <w:fldChar w:fldCharType="separate"/>
      </w:r>
      <w:r>
        <w:rPr>
          <w:rFonts w:hint="eastAsia"/>
        </w:rPr>
        <w:t>（</w:t>
      </w:r>
      <w:r>
        <w:rPr>
          <w:rFonts w:hint="eastAsia"/>
          <w:lang w:val="en-US" w:eastAsia="zh-CN"/>
        </w:rPr>
        <w:t>六</w:t>
      </w:r>
      <w:r>
        <w:rPr>
          <w:rFonts w:hint="eastAsia"/>
        </w:rPr>
        <w:t>）</w:t>
      </w:r>
      <w:r>
        <w:rPr>
          <w:rFonts w:hint="eastAsia"/>
          <w:lang w:val="en-US" w:eastAsia="zh-CN"/>
        </w:rPr>
        <w:t>循环经济发展项目</w:t>
      </w:r>
      <w:r>
        <w:tab/>
      </w:r>
      <w:r>
        <w:fldChar w:fldCharType="begin"/>
      </w:r>
      <w:r>
        <w:instrText xml:space="preserve"> PAGEREF _Toc8003 \h </w:instrText>
      </w:r>
      <w:r>
        <w:fldChar w:fldCharType="separate"/>
      </w:r>
      <w:r>
        <w:t>50</w:t>
      </w:r>
      <w:r>
        <w:fldChar w:fldCharType="end"/>
      </w:r>
      <w:r>
        <w:rPr>
          <w:rFonts w:eastAsia="黑体" w:cs="Times New Roman"/>
        </w:rPr>
        <w:fldChar w:fldCharType="end"/>
      </w:r>
    </w:p>
    <w:p w14:paraId="46A41BE9">
      <w:pPr>
        <w:pStyle w:val="15"/>
        <w:tabs>
          <w:tab w:val="right" w:leader="dot" w:pos="8844"/>
        </w:tabs>
      </w:pPr>
      <w:r>
        <w:rPr>
          <w:rFonts w:eastAsia="黑体" w:cs="Times New Roman"/>
        </w:rPr>
        <w:fldChar w:fldCharType="begin"/>
      </w:r>
      <w:r>
        <w:rPr>
          <w:rFonts w:eastAsia="黑体" w:cs="Times New Roman"/>
        </w:rPr>
        <w:instrText xml:space="preserve"> HYPERLINK \l _Toc24537 </w:instrText>
      </w:r>
      <w:r>
        <w:rPr>
          <w:rFonts w:eastAsia="黑体" w:cs="Times New Roman"/>
        </w:rPr>
        <w:fldChar w:fldCharType="separate"/>
      </w:r>
      <w:r>
        <w:rPr>
          <w:rFonts w:hint="eastAsia"/>
        </w:rPr>
        <w:t>（</w:t>
      </w:r>
      <w:r>
        <w:rPr>
          <w:rFonts w:hint="eastAsia"/>
          <w:lang w:val="en-US" w:eastAsia="zh-CN"/>
        </w:rPr>
        <w:t>七</w:t>
      </w:r>
      <w:r>
        <w:rPr>
          <w:rFonts w:hint="eastAsia"/>
        </w:rPr>
        <w:t>）</w:t>
      </w:r>
      <w:r>
        <w:rPr>
          <w:rFonts w:hint="eastAsia"/>
          <w:lang w:val="en-US" w:eastAsia="zh-CN"/>
        </w:rPr>
        <w:t>平台科技创新项目</w:t>
      </w:r>
      <w:r>
        <w:tab/>
      </w:r>
      <w:r>
        <w:fldChar w:fldCharType="begin"/>
      </w:r>
      <w:r>
        <w:instrText xml:space="preserve"> PAGEREF _Toc24537 \h </w:instrText>
      </w:r>
      <w:r>
        <w:fldChar w:fldCharType="separate"/>
      </w:r>
      <w:r>
        <w:t>52</w:t>
      </w:r>
      <w:r>
        <w:fldChar w:fldCharType="end"/>
      </w:r>
      <w:r>
        <w:rPr>
          <w:rFonts w:eastAsia="黑体" w:cs="Times New Roman"/>
        </w:rPr>
        <w:fldChar w:fldCharType="end"/>
      </w:r>
    </w:p>
    <w:p w14:paraId="78E716E0">
      <w:pPr>
        <w:pStyle w:val="13"/>
        <w:tabs>
          <w:tab w:val="right" w:leader="dot" w:pos="8844"/>
        </w:tabs>
      </w:pPr>
      <w:r>
        <w:rPr>
          <w:rFonts w:eastAsia="黑体" w:cs="Times New Roman"/>
        </w:rPr>
        <w:fldChar w:fldCharType="begin"/>
      </w:r>
      <w:r>
        <w:rPr>
          <w:rFonts w:eastAsia="黑体" w:cs="Times New Roman"/>
        </w:rPr>
        <w:instrText xml:space="preserve"> HYPERLINK \l _Toc27369 </w:instrText>
      </w:r>
      <w:r>
        <w:rPr>
          <w:rFonts w:eastAsia="黑体" w:cs="Times New Roman"/>
        </w:rPr>
        <w:fldChar w:fldCharType="separate"/>
      </w:r>
      <w:r>
        <w:rPr>
          <w:rFonts w:hint="eastAsia"/>
        </w:rPr>
        <w:t>六、政策创新</w:t>
      </w:r>
      <w:r>
        <w:tab/>
      </w:r>
      <w:r>
        <w:fldChar w:fldCharType="begin"/>
      </w:r>
      <w:r>
        <w:instrText xml:space="preserve"> PAGEREF _Toc27369 \h </w:instrText>
      </w:r>
      <w:r>
        <w:fldChar w:fldCharType="separate"/>
      </w:r>
      <w:r>
        <w:t>54</w:t>
      </w:r>
      <w:r>
        <w:fldChar w:fldCharType="end"/>
      </w:r>
      <w:r>
        <w:rPr>
          <w:rFonts w:eastAsia="黑体" w:cs="Times New Roman"/>
        </w:rPr>
        <w:fldChar w:fldCharType="end"/>
      </w:r>
    </w:p>
    <w:p w14:paraId="20143700">
      <w:pPr>
        <w:pStyle w:val="15"/>
        <w:tabs>
          <w:tab w:val="right" w:leader="dot" w:pos="8844"/>
        </w:tabs>
      </w:pPr>
      <w:r>
        <w:rPr>
          <w:rFonts w:eastAsia="黑体" w:cs="Times New Roman"/>
        </w:rPr>
        <w:fldChar w:fldCharType="begin"/>
      </w:r>
      <w:r>
        <w:rPr>
          <w:rFonts w:eastAsia="黑体" w:cs="Times New Roman"/>
        </w:rPr>
        <w:instrText xml:space="preserve"> HYPERLINK \l _Toc31795 </w:instrText>
      </w:r>
      <w:r>
        <w:rPr>
          <w:rFonts w:eastAsia="黑体" w:cs="Times New Roman"/>
        </w:rPr>
        <w:fldChar w:fldCharType="separate"/>
      </w:r>
      <w:r>
        <w:rPr>
          <w:rFonts w:hint="eastAsia"/>
        </w:rPr>
        <w:t>（</w:t>
      </w:r>
      <w:r>
        <w:rPr>
          <w:rFonts w:hint="eastAsia"/>
          <w:lang w:val="en-US" w:eastAsia="zh-CN"/>
        </w:rPr>
        <w:t>一</w:t>
      </w:r>
      <w:r>
        <w:rPr>
          <w:rFonts w:hint="eastAsia"/>
        </w:rPr>
        <w:t>）完善绿色招商政策</w:t>
      </w:r>
      <w:r>
        <w:tab/>
      </w:r>
      <w:r>
        <w:fldChar w:fldCharType="begin"/>
      </w:r>
      <w:r>
        <w:instrText xml:space="preserve"> PAGEREF _Toc31795 \h </w:instrText>
      </w:r>
      <w:r>
        <w:fldChar w:fldCharType="separate"/>
      </w:r>
      <w:r>
        <w:t>54</w:t>
      </w:r>
      <w:r>
        <w:fldChar w:fldCharType="end"/>
      </w:r>
      <w:r>
        <w:rPr>
          <w:rFonts w:eastAsia="黑体" w:cs="Times New Roman"/>
        </w:rPr>
        <w:fldChar w:fldCharType="end"/>
      </w:r>
    </w:p>
    <w:p w14:paraId="5A5CD668">
      <w:pPr>
        <w:pStyle w:val="15"/>
        <w:tabs>
          <w:tab w:val="right" w:leader="dot" w:pos="8844"/>
        </w:tabs>
      </w:pPr>
      <w:r>
        <w:rPr>
          <w:rFonts w:eastAsia="黑体" w:cs="Times New Roman"/>
        </w:rPr>
        <w:fldChar w:fldCharType="begin"/>
      </w:r>
      <w:r>
        <w:rPr>
          <w:rFonts w:eastAsia="黑体" w:cs="Times New Roman"/>
        </w:rPr>
        <w:instrText xml:space="preserve"> HYPERLINK \l _Toc9746 </w:instrText>
      </w:r>
      <w:r>
        <w:rPr>
          <w:rFonts w:eastAsia="黑体" w:cs="Times New Roman"/>
        </w:rPr>
        <w:fldChar w:fldCharType="separate"/>
      </w:r>
      <w:r>
        <w:rPr>
          <w:rFonts w:hint="eastAsia"/>
        </w:rPr>
        <w:t>（</w:t>
      </w:r>
      <w:r>
        <w:rPr>
          <w:rFonts w:hint="eastAsia"/>
          <w:lang w:val="en-US" w:eastAsia="zh-CN"/>
        </w:rPr>
        <w:t>二</w:t>
      </w:r>
      <w:r>
        <w:rPr>
          <w:rFonts w:hint="eastAsia"/>
        </w:rPr>
        <w:t>）优化绿色低碳</w:t>
      </w:r>
      <w:r>
        <w:rPr>
          <w:rFonts w:hint="eastAsia"/>
          <w:lang w:val="en-US" w:eastAsia="zh-CN"/>
        </w:rPr>
        <w:t>产业</w:t>
      </w:r>
      <w:r>
        <w:rPr>
          <w:rFonts w:hint="eastAsia"/>
        </w:rPr>
        <w:t>发展政策</w:t>
      </w:r>
      <w:r>
        <w:tab/>
      </w:r>
      <w:r>
        <w:fldChar w:fldCharType="begin"/>
      </w:r>
      <w:r>
        <w:instrText xml:space="preserve"> PAGEREF _Toc9746 \h </w:instrText>
      </w:r>
      <w:r>
        <w:fldChar w:fldCharType="separate"/>
      </w:r>
      <w:r>
        <w:t>54</w:t>
      </w:r>
      <w:r>
        <w:fldChar w:fldCharType="end"/>
      </w:r>
      <w:r>
        <w:rPr>
          <w:rFonts w:eastAsia="黑体" w:cs="Times New Roman"/>
        </w:rPr>
        <w:fldChar w:fldCharType="end"/>
      </w:r>
    </w:p>
    <w:p w14:paraId="5DA72B4E">
      <w:pPr>
        <w:pStyle w:val="15"/>
        <w:tabs>
          <w:tab w:val="right" w:leader="dot" w:pos="8844"/>
        </w:tabs>
      </w:pPr>
      <w:r>
        <w:rPr>
          <w:rFonts w:eastAsia="黑体" w:cs="Times New Roman"/>
        </w:rPr>
        <w:fldChar w:fldCharType="begin"/>
      </w:r>
      <w:r>
        <w:rPr>
          <w:rFonts w:eastAsia="黑体" w:cs="Times New Roman"/>
        </w:rPr>
        <w:instrText xml:space="preserve"> HYPERLINK \l _Toc28590 </w:instrText>
      </w:r>
      <w:r>
        <w:rPr>
          <w:rFonts w:eastAsia="黑体" w:cs="Times New Roman"/>
        </w:rPr>
        <w:fldChar w:fldCharType="separate"/>
      </w:r>
      <w:r>
        <w:rPr>
          <w:rFonts w:hint="eastAsia"/>
        </w:rPr>
        <w:t>（</w:t>
      </w:r>
      <w:r>
        <w:rPr>
          <w:rFonts w:hint="eastAsia"/>
          <w:lang w:val="en-US" w:eastAsia="zh-CN"/>
        </w:rPr>
        <w:t>三</w:t>
      </w:r>
      <w:r>
        <w:rPr>
          <w:rFonts w:hint="eastAsia"/>
        </w:rPr>
        <w:t>）强化金融支持政策引导</w:t>
      </w:r>
      <w:r>
        <w:tab/>
      </w:r>
      <w:r>
        <w:fldChar w:fldCharType="begin"/>
      </w:r>
      <w:r>
        <w:instrText xml:space="preserve"> PAGEREF _Toc28590 \h </w:instrText>
      </w:r>
      <w:r>
        <w:fldChar w:fldCharType="separate"/>
      </w:r>
      <w:r>
        <w:t>55</w:t>
      </w:r>
      <w:r>
        <w:fldChar w:fldCharType="end"/>
      </w:r>
      <w:r>
        <w:rPr>
          <w:rFonts w:eastAsia="黑体" w:cs="Times New Roman"/>
        </w:rPr>
        <w:fldChar w:fldCharType="end"/>
      </w:r>
    </w:p>
    <w:p w14:paraId="6D63E0D6">
      <w:pPr>
        <w:pStyle w:val="15"/>
        <w:tabs>
          <w:tab w:val="right" w:leader="dot" w:pos="8844"/>
        </w:tabs>
      </w:pPr>
      <w:r>
        <w:rPr>
          <w:rFonts w:eastAsia="黑体" w:cs="Times New Roman"/>
        </w:rPr>
        <w:fldChar w:fldCharType="begin"/>
      </w:r>
      <w:r>
        <w:rPr>
          <w:rFonts w:eastAsia="黑体" w:cs="Times New Roman"/>
        </w:rPr>
        <w:instrText xml:space="preserve"> HYPERLINK \l _Toc23523 </w:instrText>
      </w:r>
      <w:r>
        <w:rPr>
          <w:rFonts w:eastAsia="黑体" w:cs="Times New Roman"/>
        </w:rPr>
        <w:fldChar w:fldCharType="separate"/>
      </w:r>
      <w:r>
        <w:rPr>
          <w:rFonts w:hint="eastAsia"/>
          <w:highlight w:val="none"/>
          <w:lang w:val="en"/>
        </w:rPr>
        <w:t>（</w:t>
      </w:r>
      <w:r>
        <w:rPr>
          <w:rFonts w:hint="eastAsia"/>
          <w:highlight w:val="none"/>
          <w:lang w:val="en-US" w:eastAsia="zh-CN"/>
        </w:rPr>
        <w:t>四</w:t>
      </w:r>
      <w:r>
        <w:rPr>
          <w:rFonts w:hint="eastAsia"/>
          <w:highlight w:val="none"/>
          <w:lang w:val="en"/>
        </w:rPr>
        <w:t>）</w:t>
      </w:r>
      <w:r>
        <w:rPr>
          <w:rFonts w:hint="eastAsia"/>
          <w:highlight w:val="none"/>
          <w:lang w:val="en-US" w:eastAsia="zh-CN"/>
        </w:rPr>
        <w:t>探索开展</w:t>
      </w:r>
      <w:r>
        <w:rPr>
          <w:rFonts w:hint="eastAsia"/>
          <w:highlight w:val="none"/>
        </w:rPr>
        <w:t>碳排放双控</w:t>
      </w:r>
      <w:r>
        <w:rPr>
          <w:rFonts w:hint="eastAsia"/>
          <w:highlight w:val="none"/>
          <w:lang w:val="en-US" w:eastAsia="zh-CN"/>
        </w:rPr>
        <w:t>制度创新</w:t>
      </w:r>
      <w:r>
        <w:tab/>
      </w:r>
      <w:r>
        <w:fldChar w:fldCharType="begin"/>
      </w:r>
      <w:r>
        <w:instrText xml:space="preserve"> PAGEREF _Toc23523 \h </w:instrText>
      </w:r>
      <w:r>
        <w:fldChar w:fldCharType="separate"/>
      </w:r>
      <w:r>
        <w:t>56</w:t>
      </w:r>
      <w:r>
        <w:fldChar w:fldCharType="end"/>
      </w:r>
      <w:r>
        <w:rPr>
          <w:rFonts w:eastAsia="黑体" w:cs="Times New Roman"/>
        </w:rPr>
        <w:fldChar w:fldCharType="end"/>
      </w:r>
    </w:p>
    <w:p w14:paraId="4801EA20">
      <w:pPr>
        <w:pStyle w:val="15"/>
        <w:tabs>
          <w:tab w:val="right" w:leader="dot" w:pos="8844"/>
        </w:tabs>
      </w:pPr>
      <w:r>
        <w:rPr>
          <w:rFonts w:eastAsia="黑体" w:cs="Times New Roman"/>
        </w:rPr>
        <w:fldChar w:fldCharType="begin"/>
      </w:r>
      <w:r>
        <w:rPr>
          <w:rFonts w:eastAsia="黑体" w:cs="Times New Roman"/>
        </w:rPr>
        <w:instrText xml:space="preserve"> HYPERLINK \l _Toc8219 </w:instrText>
      </w:r>
      <w:r>
        <w:rPr>
          <w:rFonts w:eastAsia="黑体" w:cs="Times New Roman"/>
        </w:rPr>
        <w:fldChar w:fldCharType="separate"/>
      </w:r>
      <w:r>
        <w:rPr>
          <w:rFonts w:hint="eastAsia"/>
        </w:rPr>
        <w:t>（</w:t>
      </w:r>
      <w:r>
        <w:rPr>
          <w:rFonts w:hint="eastAsia"/>
          <w:lang w:val="en-US" w:eastAsia="zh-CN"/>
        </w:rPr>
        <w:t>五</w:t>
      </w:r>
      <w:r>
        <w:rPr>
          <w:rFonts w:hint="eastAsia"/>
        </w:rPr>
        <w:t>）</w:t>
      </w:r>
      <w:r>
        <w:rPr>
          <w:rFonts w:hint="eastAsia"/>
          <w:lang w:val="en-US" w:eastAsia="zh-CN"/>
        </w:rPr>
        <w:t>推动</w:t>
      </w:r>
      <w:r>
        <w:rPr>
          <w:rFonts w:hint="eastAsia"/>
        </w:rPr>
        <w:t>企业</w:t>
      </w:r>
      <w:r>
        <w:rPr>
          <w:rFonts w:hint="eastAsia"/>
          <w:lang w:val="en-US" w:eastAsia="zh-CN"/>
        </w:rPr>
        <w:t>绿色低碳转型</w:t>
      </w:r>
      <w:r>
        <w:tab/>
      </w:r>
      <w:r>
        <w:fldChar w:fldCharType="begin"/>
      </w:r>
      <w:r>
        <w:instrText xml:space="preserve"> PAGEREF _Toc8219 \h </w:instrText>
      </w:r>
      <w:r>
        <w:fldChar w:fldCharType="separate"/>
      </w:r>
      <w:r>
        <w:t>56</w:t>
      </w:r>
      <w:r>
        <w:fldChar w:fldCharType="end"/>
      </w:r>
      <w:r>
        <w:rPr>
          <w:rFonts w:eastAsia="黑体" w:cs="Times New Roman"/>
        </w:rPr>
        <w:fldChar w:fldCharType="end"/>
      </w:r>
    </w:p>
    <w:p w14:paraId="1D06DA3A">
      <w:pPr>
        <w:pStyle w:val="13"/>
        <w:tabs>
          <w:tab w:val="right" w:leader="dot" w:pos="8844"/>
        </w:tabs>
      </w:pPr>
      <w:r>
        <w:rPr>
          <w:rFonts w:eastAsia="黑体" w:cs="Times New Roman"/>
        </w:rPr>
        <w:fldChar w:fldCharType="begin"/>
      </w:r>
      <w:r>
        <w:rPr>
          <w:rFonts w:eastAsia="黑体" w:cs="Times New Roman"/>
        </w:rPr>
        <w:instrText xml:space="preserve"> HYPERLINK \l _Toc19739 </w:instrText>
      </w:r>
      <w:r>
        <w:rPr>
          <w:rFonts w:eastAsia="黑体" w:cs="Times New Roman"/>
        </w:rPr>
        <w:fldChar w:fldCharType="separate"/>
      </w:r>
      <w:r>
        <w:rPr>
          <w:rFonts w:hint="eastAsia"/>
        </w:rPr>
        <w:t>七、全民行动</w:t>
      </w:r>
      <w:r>
        <w:tab/>
      </w:r>
      <w:r>
        <w:fldChar w:fldCharType="begin"/>
      </w:r>
      <w:r>
        <w:instrText xml:space="preserve"> PAGEREF _Toc19739 \h </w:instrText>
      </w:r>
      <w:r>
        <w:fldChar w:fldCharType="separate"/>
      </w:r>
      <w:r>
        <w:t>58</w:t>
      </w:r>
      <w:r>
        <w:fldChar w:fldCharType="end"/>
      </w:r>
      <w:r>
        <w:rPr>
          <w:rFonts w:eastAsia="黑体" w:cs="Times New Roman"/>
        </w:rPr>
        <w:fldChar w:fldCharType="end"/>
      </w:r>
    </w:p>
    <w:p w14:paraId="4C8656E0">
      <w:pPr>
        <w:pStyle w:val="15"/>
        <w:tabs>
          <w:tab w:val="right" w:leader="dot" w:pos="8844"/>
        </w:tabs>
      </w:pPr>
      <w:r>
        <w:rPr>
          <w:rFonts w:eastAsia="黑体" w:cs="Times New Roman"/>
        </w:rPr>
        <w:fldChar w:fldCharType="begin"/>
      </w:r>
      <w:r>
        <w:rPr>
          <w:rFonts w:eastAsia="黑体" w:cs="Times New Roman"/>
        </w:rPr>
        <w:instrText xml:space="preserve"> HYPERLINK \l _Toc23694 </w:instrText>
      </w:r>
      <w:r>
        <w:rPr>
          <w:rFonts w:eastAsia="黑体" w:cs="Times New Roman"/>
        </w:rPr>
        <w:fldChar w:fldCharType="separate"/>
      </w:r>
      <w:r>
        <w:rPr>
          <w:rFonts w:hint="eastAsia"/>
        </w:rPr>
        <w:t>（</w:t>
      </w:r>
      <w:r>
        <w:rPr>
          <w:rFonts w:hint="eastAsia"/>
          <w:lang w:val="en-US" w:eastAsia="zh-CN"/>
        </w:rPr>
        <w:t>一</w:t>
      </w:r>
      <w:r>
        <w:rPr>
          <w:rFonts w:hint="eastAsia"/>
        </w:rPr>
        <w:t>）</w:t>
      </w:r>
      <w:r>
        <w:rPr>
          <w:rFonts w:hint="eastAsia"/>
          <w:lang w:val="en-US" w:eastAsia="zh-CN"/>
        </w:rPr>
        <w:t>加强生态文明宣传教育</w:t>
      </w:r>
      <w:r>
        <w:tab/>
      </w:r>
      <w:r>
        <w:fldChar w:fldCharType="begin"/>
      </w:r>
      <w:r>
        <w:instrText xml:space="preserve"> PAGEREF _Toc23694 \h </w:instrText>
      </w:r>
      <w:r>
        <w:fldChar w:fldCharType="separate"/>
      </w:r>
      <w:r>
        <w:t>58</w:t>
      </w:r>
      <w:r>
        <w:fldChar w:fldCharType="end"/>
      </w:r>
      <w:r>
        <w:rPr>
          <w:rFonts w:eastAsia="黑体" w:cs="Times New Roman"/>
        </w:rPr>
        <w:fldChar w:fldCharType="end"/>
      </w:r>
    </w:p>
    <w:p w14:paraId="5E0D1E73">
      <w:pPr>
        <w:pStyle w:val="15"/>
        <w:tabs>
          <w:tab w:val="right" w:leader="dot" w:pos="8844"/>
        </w:tabs>
      </w:pPr>
      <w:r>
        <w:rPr>
          <w:rFonts w:eastAsia="黑体" w:cs="Times New Roman"/>
        </w:rPr>
        <w:fldChar w:fldCharType="begin"/>
      </w:r>
      <w:r>
        <w:rPr>
          <w:rFonts w:eastAsia="黑体" w:cs="Times New Roman"/>
        </w:rPr>
        <w:instrText xml:space="preserve"> HYPERLINK \l _Toc8337 </w:instrText>
      </w:r>
      <w:r>
        <w:rPr>
          <w:rFonts w:eastAsia="黑体" w:cs="Times New Roman"/>
        </w:rPr>
        <w:fldChar w:fldCharType="separate"/>
      </w:r>
      <w:r>
        <w:rPr>
          <w:rFonts w:hint="eastAsia"/>
        </w:rPr>
        <w:t>（</w:t>
      </w:r>
      <w:r>
        <w:rPr>
          <w:rFonts w:hint="eastAsia"/>
          <w:lang w:val="en-US" w:eastAsia="zh-CN"/>
        </w:rPr>
        <w:t>二</w:t>
      </w:r>
      <w:r>
        <w:rPr>
          <w:rFonts w:hint="eastAsia"/>
        </w:rPr>
        <w:t>）推广绿色低碳生活方式</w:t>
      </w:r>
      <w:r>
        <w:tab/>
      </w:r>
      <w:r>
        <w:fldChar w:fldCharType="begin"/>
      </w:r>
      <w:r>
        <w:instrText xml:space="preserve"> PAGEREF _Toc8337 \h </w:instrText>
      </w:r>
      <w:r>
        <w:fldChar w:fldCharType="separate"/>
      </w:r>
      <w:r>
        <w:t>58</w:t>
      </w:r>
      <w:r>
        <w:fldChar w:fldCharType="end"/>
      </w:r>
      <w:r>
        <w:rPr>
          <w:rFonts w:eastAsia="黑体" w:cs="Times New Roman"/>
        </w:rPr>
        <w:fldChar w:fldCharType="end"/>
      </w:r>
    </w:p>
    <w:p w14:paraId="1EE8B27E">
      <w:pPr>
        <w:pStyle w:val="15"/>
        <w:tabs>
          <w:tab w:val="right" w:leader="dot" w:pos="8844"/>
        </w:tabs>
      </w:pPr>
      <w:r>
        <w:rPr>
          <w:rFonts w:eastAsia="黑体" w:cs="Times New Roman"/>
        </w:rPr>
        <w:fldChar w:fldCharType="begin"/>
      </w:r>
      <w:r>
        <w:rPr>
          <w:rFonts w:eastAsia="黑体" w:cs="Times New Roman"/>
        </w:rPr>
        <w:instrText xml:space="preserve"> HYPERLINK \l _Toc7270 </w:instrText>
      </w:r>
      <w:r>
        <w:rPr>
          <w:rFonts w:eastAsia="黑体" w:cs="Times New Roman"/>
        </w:rPr>
        <w:fldChar w:fldCharType="separate"/>
      </w:r>
      <w:r>
        <w:rPr>
          <w:rFonts w:hint="eastAsia"/>
        </w:rPr>
        <w:t>（</w:t>
      </w:r>
      <w:r>
        <w:rPr>
          <w:rFonts w:hint="eastAsia"/>
          <w:lang w:val="en-US" w:eastAsia="zh-CN"/>
        </w:rPr>
        <w:t>三</w:t>
      </w:r>
      <w:r>
        <w:rPr>
          <w:rFonts w:hint="eastAsia"/>
        </w:rPr>
        <w:t>）引导企业履行社会责任</w:t>
      </w:r>
      <w:r>
        <w:tab/>
      </w:r>
      <w:r>
        <w:fldChar w:fldCharType="begin"/>
      </w:r>
      <w:r>
        <w:instrText xml:space="preserve"> PAGEREF _Toc7270 \h </w:instrText>
      </w:r>
      <w:r>
        <w:fldChar w:fldCharType="separate"/>
      </w:r>
      <w:r>
        <w:t>58</w:t>
      </w:r>
      <w:r>
        <w:fldChar w:fldCharType="end"/>
      </w:r>
      <w:r>
        <w:rPr>
          <w:rFonts w:eastAsia="黑体" w:cs="Times New Roman"/>
        </w:rPr>
        <w:fldChar w:fldCharType="end"/>
      </w:r>
    </w:p>
    <w:p w14:paraId="786262A7">
      <w:pPr>
        <w:pStyle w:val="15"/>
        <w:tabs>
          <w:tab w:val="right" w:leader="dot" w:pos="8844"/>
        </w:tabs>
      </w:pPr>
      <w:r>
        <w:rPr>
          <w:rFonts w:eastAsia="黑体" w:cs="Times New Roman"/>
        </w:rPr>
        <w:fldChar w:fldCharType="begin"/>
      </w:r>
      <w:r>
        <w:rPr>
          <w:rFonts w:eastAsia="黑体" w:cs="Times New Roman"/>
        </w:rPr>
        <w:instrText xml:space="preserve"> HYPERLINK \l _Toc13435 </w:instrText>
      </w:r>
      <w:r>
        <w:rPr>
          <w:rFonts w:eastAsia="黑体" w:cs="Times New Roman"/>
        </w:rPr>
        <w:fldChar w:fldCharType="separate"/>
      </w:r>
      <w:r>
        <w:rPr>
          <w:rFonts w:hint="eastAsia"/>
        </w:rPr>
        <w:t>（</w:t>
      </w:r>
      <w:r>
        <w:rPr>
          <w:rFonts w:hint="eastAsia"/>
          <w:lang w:val="en-US" w:eastAsia="zh-CN"/>
        </w:rPr>
        <w:t>四</w:t>
      </w:r>
      <w:r>
        <w:rPr>
          <w:rFonts w:hint="eastAsia"/>
        </w:rPr>
        <w:t>）强化领导干部培训</w:t>
      </w:r>
      <w:r>
        <w:tab/>
      </w:r>
      <w:r>
        <w:fldChar w:fldCharType="begin"/>
      </w:r>
      <w:r>
        <w:instrText xml:space="preserve"> PAGEREF _Toc13435 \h </w:instrText>
      </w:r>
      <w:r>
        <w:fldChar w:fldCharType="separate"/>
      </w:r>
      <w:r>
        <w:t>59</w:t>
      </w:r>
      <w:r>
        <w:fldChar w:fldCharType="end"/>
      </w:r>
      <w:r>
        <w:rPr>
          <w:rFonts w:eastAsia="黑体" w:cs="Times New Roman"/>
        </w:rPr>
        <w:fldChar w:fldCharType="end"/>
      </w:r>
    </w:p>
    <w:p w14:paraId="4E66DEE7">
      <w:pPr>
        <w:pStyle w:val="13"/>
        <w:tabs>
          <w:tab w:val="right" w:leader="dot" w:pos="8844"/>
        </w:tabs>
      </w:pPr>
      <w:r>
        <w:rPr>
          <w:rFonts w:eastAsia="黑体" w:cs="Times New Roman"/>
        </w:rPr>
        <w:fldChar w:fldCharType="begin"/>
      </w:r>
      <w:r>
        <w:rPr>
          <w:rFonts w:eastAsia="黑体" w:cs="Times New Roman"/>
        </w:rPr>
        <w:instrText xml:space="preserve"> HYPERLINK \l _Toc24564 </w:instrText>
      </w:r>
      <w:r>
        <w:rPr>
          <w:rFonts w:eastAsia="黑体" w:cs="Times New Roman"/>
        </w:rPr>
        <w:fldChar w:fldCharType="separate"/>
      </w:r>
      <w:r>
        <w:rPr>
          <w:rFonts w:hint="eastAsia"/>
        </w:rPr>
        <w:t>八、保障措施</w:t>
      </w:r>
      <w:r>
        <w:tab/>
      </w:r>
      <w:r>
        <w:fldChar w:fldCharType="begin"/>
      </w:r>
      <w:r>
        <w:instrText xml:space="preserve"> PAGEREF _Toc24564 \h </w:instrText>
      </w:r>
      <w:r>
        <w:fldChar w:fldCharType="separate"/>
      </w:r>
      <w:r>
        <w:t>60</w:t>
      </w:r>
      <w:r>
        <w:fldChar w:fldCharType="end"/>
      </w:r>
      <w:r>
        <w:rPr>
          <w:rFonts w:eastAsia="黑体" w:cs="Times New Roman"/>
        </w:rPr>
        <w:fldChar w:fldCharType="end"/>
      </w:r>
    </w:p>
    <w:p w14:paraId="037DE8DF">
      <w:pPr>
        <w:pStyle w:val="15"/>
        <w:tabs>
          <w:tab w:val="right" w:leader="dot" w:pos="8844"/>
        </w:tabs>
      </w:pPr>
      <w:r>
        <w:rPr>
          <w:rFonts w:eastAsia="黑体" w:cs="Times New Roman"/>
        </w:rPr>
        <w:fldChar w:fldCharType="begin"/>
      </w:r>
      <w:r>
        <w:rPr>
          <w:rFonts w:eastAsia="黑体" w:cs="Times New Roman"/>
        </w:rPr>
        <w:instrText xml:space="preserve"> HYPERLINK \l _Toc32530 </w:instrText>
      </w:r>
      <w:r>
        <w:rPr>
          <w:rFonts w:eastAsia="黑体" w:cs="Times New Roman"/>
        </w:rPr>
        <w:fldChar w:fldCharType="separate"/>
      </w:r>
      <w:r>
        <w:rPr>
          <w:rFonts w:hint="eastAsia"/>
        </w:rPr>
        <w:t>（一）</w:t>
      </w:r>
      <w:r>
        <w:rPr>
          <w:rFonts w:hint="eastAsia"/>
          <w:lang w:val="en-US" w:eastAsia="zh-CN"/>
        </w:rPr>
        <w:t>加强</w:t>
      </w:r>
      <w:r>
        <w:rPr>
          <w:rFonts w:hint="eastAsia"/>
        </w:rPr>
        <w:t>组织领导</w:t>
      </w:r>
      <w:r>
        <w:tab/>
      </w:r>
      <w:r>
        <w:fldChar w:fldCharType="begin"/>
      </w:r>
      <w:r>
        <w:instrText xml:space="preserve"> PAGEREF _Toc32530 \h </w:instrText>
      </w:r>
      <w:r>
        <w:fldChar w:fldCharType="separate"/>
      </w:r>
      <w:r>
        <w:t>60</w:t>
      </w:r>
      <w:r>
        <w:fldChar w:fldCharType="end"/>
      </w:r>
      <w:r>
        <w:rPr>
          <w:rFonts w:eastAsia="黑体" w:cs="Times New Roman"/>
        </w:rPr>
        <w:fldChar w:fldCharType="end"/>
      </w:r>
    </w:p>
    <w:p w14:paraId="7AFC85C3">
      <w:pPr>
        <w:pStyle w:val="15"/>
        <w:tabs>
          <w:tab w:val="right" w:leader="dot" w:pos="8844"/>
        </w:tabs>
      </w:pPr>
      <w:r>
        <w:rPr>
          <w:rFonts w:eastAsia="黑体" w:cs="Times New Roman"/>
        </w:rPr>
        <w:fldChar w:fldCharType="begin"/>
      </w:r>
      <w:r>
        <w:rPr>
          <w:rFonts w:eastAsia="黑体" w:cs="Times New Roman"/>
        </w:rPr>
        <w:instrText xml:space="preserve"> HYPERLINK \l _Toc1801 </w:instrText>
      </w:r>
      <w:r>
        <w:rPr>
          <w:rFonts w:eastAsia="黑体" w:cs="Times New Roman"/>
        </w:rPr>
        <w:fldChar w:fldCharType="separate"/>
      </w:r>
      <w:r>
        <w:rPr>
          <w:rFonts w:hint="eastAsia"/>
        </w:rPr>
        <w:t>（二）</w:t>
      </w:r>
      <w:r>
        <w:rPr>
          <w:rFonts w:hint="eastAsia"/>
          <w:lang w:val="en-US" w:eastAsia="zh-CN"/>
        </w:rPr>
        <w:t>做好协调联动</w:t>
      </w:r>
      <w:r>
        <w:tab/>
      </w:r>
      <w:r>
        <w:fldChar w:fldCharType="begin"/>
      </w:r>
      <w:r>
        <w:instrText xml:space="preserve"> PAGEREF _Toc1801 \h </w:instrText>
      </w:r>
      <w:r>
        <w:fldChar w:fldCharType="separate"/>
      </w:r>
      <w:r>
        <w:t>60</w:t>
      </w:r>
      <w:r>
        <w:fldChar w:fldCharType="end"/>
      </w:r>
      <w:r>
        <w:rPr>
          <w:rFonts w:eastAsia="黑体" w:cs="Times New Roman"/>
        </w:rPr>
        <w:fldChar w:fldCharType="end"/>
      </w:r>
    </w:p>
    <w:p w14:paraId="0A69CE1E">
      <w:pPr>
        <w:pStyle w:val="15"/>
        <w:tabs>
          <w:tab w:val="right" w:leader="dot" w:pos="8844"/>
        </w:tabs>
      </w:pPr>
      <w:r>
        <w:rPr>
          <w:rFonts w:eastAsia="黑体" w:cs="Times New Roman"/>
        </w:rPr>
        <w:fldChar w:fldCharType="begin"/>
      </w:r>
      <w:r>
        <w:rPr>
          <w:rFonts w:eastAsia="黑体" w:cs="Times New Roman"/>
        </w:rPr>
        <w:instrText xml:space="preserve"> HYPERLINK \l _Toc8541 </w:instrText>
      </w:r>
      <w:r>
        <w:rPr>
          <w:rFonts w:eastAsia="黑体" w:cs="Times New Roman"/>
        </w:rPr>
        <w:fldChar w:fldCharType="separate"/>
      </w:r>
      <w:r>
        <w:rPr>
          <w:rFonts w:hint="eastAsia"/>
        </w:rPr>
        <w:t>（</w:t>
      </w:r>
      <w:r>
        <w:rPr>
          <w:rFonts w:hint="eastAsia"/>
          <w:lang w:val="en-US" w:eastAsia="zh-CN"/>
        </w:rPr>
        <w:t>三</w:t>
      </w:r>
      <w:r>
        <w:rPr>
          <w:rFonts w:hint="eastAsia"/>
        </w:rPr>
        <w:t>）</w:t>
      </w:r>
      <w:r>
        <w:rPr>
          <w:rFonts w:hint="eastAsia"/>
          <w:lang w:val="en-US" w:eastAsia="zh-CN"/>
        </w:rPr>
        <w:t>强化政策支持</w:t>
      </w:r>
      <w:r>
        <w:tab/>
      </w:r>
      <w:r>
        <w:fldChar w:fldCharType="begin"/>
      </w:r>
      <w:r>
        <w:instrText xml:space="preserve"> PAGEREF _Toc8541 \h </w:instrText>
      </w:r>
      <w:r>
        <w:fldChar w:fldCharType="separate"/>
      </w:r>
      <w:r>
        <w:t>61</w:t>
      </w:r>
      <w:r>
        <w:fldChar w:fldCharType="end"/>
      </w:r>
      <w:r>
        <w:rPr>
          <w:rFonts w:eastAsia="黑体" w:cs="Times New Roman"/>
        </w:rPr>
        <w:fldChar w:fldCharType="end"/>
      </w:r>
    </w:p>
    <w:p w14:paraId="7EF07EAA">
      <w:pPr>
        <w:pStyle w:val="15"/>
        <w:tabs>
          <w:tab w:val="right" w:leader="dot" w:pos="8844"/>
        </w:tabs>
      </w:pPr>
      <w:r>
        <w:rPr>
          <w:rFonts w:eastAsia="黑体" w:cs="Times New Roman"/>
        </w:rPr>
        <w:fldChar w:fldCharType="begin"/>
      </w:r>
      <w:r>
        <w:rPr>
          <w:rFonts w:eastAsia="黑体" w:cs="Times New Roman"/>
        </w:rPr>
        <w:instrText xml:space="preserve"> HYPERLINK \l _Toc21802 </w:instrText>
      </w:r>
      <w:r>
        <w:rPr>
          <w:rFonts w:eastAsia="黑体" w:cs="Times New Roman"/>
        </w:rPr>
        <w:fldChar w:fldCharType="separate"/>
      </w:r>
      <w:r>
        <w:rPr>
          <w:rFonts w:hint="eastAsia"/>
        </w:rPr>
        <w:t>（四）</w:t>
      </w:r>
      <w:r>
        <w:rPr>
          <w:rFonts w:hint="eastAsia"/>
          <w:lang w:val="en-US" w:eastAsia="zh-CN"/>
        </w:rPr>
        <w:t>完善市场机制</w:t>
      </w:r>
      <w:r>
        <w:tab/>
      </w:r>
      <w:r>
        <w:fldChar w:fldCharType="begin"/>
      </w:r>
      <w:r>
        <w:instrText xml:space="preserve"> PAGEREF _Toc21802 \h </w:instrText>
      </w:r>
      <w:r>
        <w:fldChar w:fldCharType="separate"/>
      </w:r>
      <w:r>
        <w:t>62</w:t>
      </w:r>
      <w:r>
        <w:fldChar w:fldCharType="end"/>
      </w:r>
      <w:r>
        <w:rPr>
          <w:rFonts w:eastAsia="黑体" w:cs="Times New Roman"/>
        </w:rPr>
        <w:fldChar w:fldCharType="end"/>
      </w:r>
    </w:p>
    <w:p w14:paraId="54DFB804">
      <w:pPr>
        <w:pStyle w:val="13"/>
        <w:tabs>
          <w:tab w:val="right" w:leader="dot" w:pos="8844"/>
        </w:tabs>
      </w:pPr>
      <w:r>
        <w:rPr>
          <w:rFonts w:eastAsia="黑体" w:cs="Times New Roman"/>
        </w:rPr>
        <w:fldChar w:fldCharType="begin"/>
      </w:r>
      <w:r>
        <w:rPr>
          <w:rFonts w:eastAsia="黑体" w:cs="Times New Roman"/>
        </w:rPr>
        <w:instrText xml:space="preserve"> HYPERLINK \l _Toc9494 </w:instrText>
      </w:r>
      <w:r>
        <w:rPr>
          <w:rFonts w:eastAsia="黑体" w:cs="Times New Roman"/>
        </w:rPr>
        <w:fldChar w:fldCharType="separate"/>
      </w:r>
      <w:r>
        <w:rPr>
          <w:rFonts w:hint="eastAsia"/>
          <w:lang w:val="en-US" w:eastAsia="zh-CN"/>
        </w:rPr>
        <w:t>九</w:t>
      </w:r>
      <w:r>
        <w:rPr>
          <w:rFonts w:hint="eastAsia"/>
        </w:rPr>
        <w:t>、</w:t>
      </w:r>
      <w:r>
        <w:rPr>
          <w:rFonts w:hint="eastAsia"/>
          <w:lang w:val="en-US" w:eastAsia="zh-CN"/>
        </w:rPr>
        <w:t>附件</w:t>
      </w:r>
      <w:r>
        <w:tab/>
      </w:r>
      <w:r>
        <w:fldChar w:fldCharType="begin"/>
      </w:r>
      <w:r>
        <w:instrText xml:space="preserve"> PAGEREF _Toc9494 \h </w:instrText>
      </w:r>
      <w:r>
        <w:fldChar w:fldCharType="separate"/>
      </w:r>
      <w:r>
        <w:t>63</w:t>
      </w:r>
      <w:r>
        <w:fldChar w:fldCharType="end"/>
      </w:r>
      <w:r>
        <w:rPr>
          <w:rFonts w:eastAsia="黑体" w:cs="Times New Roman"/>
        </w:rPr>
        <w:fldChar w:fldCharType="end"/>
      </w:r>
    </w:p>
    <w:p w14:paraId="77ED2362">
      <w:pPr>
        <w:pStyle w:val="15"/>
        <w:tabs>
          <w:tab w:val="right" w:leader="dot" w:pos="8844"/>
        </w:tabs>
      </w:pPr>
      <w:r>
        <w:rPr>
          <w:rFonts w:eastAsia="黑体" w:cs="Times New Roman"/>
        </w:rPr>
        <w:fldChar w:fldCharType="begin"/>
      </w:r>
      <w:r>
        <w:rPr>
          <w:rFonts w:eastAsia="黑体" w:cs="Times New Roman"/>
        </w:rPr>
        <w:instrText xml:space="preserve"> HYPERLINK \l _Toc22597 </w:instrText>
      </w:r>
      <w:r>
        <w:rPr>
          <w:rFonts w:eastAsia="黑体" w:cs="Times New Roman"/>
        </w:rPr>
        <w:fldChar w:fldCharType="separate"/>
      </w:r>
      <w:r>
        <w:rPr>
          <w:rFonts w:hint="eastAsia"/>
          <w:lang w:val="en-US" w:eastAsia="zh-CN"/>
        </w:rPr>
        <w:t>1.重点任务清单</w:t>
      </w:r>
      <w:r>
        <w:tab/>
      </w:r>
      <w:r>
        <w:fldChar w:fldCharType="begin"/>
      </w:r>
      <w:r>
        <w:instrText xml:space="preserve"> PAGEREF _Toc22597 \h </w:instrText>
      </w:r>
      <w:r>
        <w:fldChar w:fldCharType="separate"/>
      </w:r>
      <w:r>
        <w:t>63</w:t>
      </w:r>
      <w:r>
        <w:fldChar w:fldCharType="end"/>
      </w:r>
      <w:r>
        <w:rPr>
          <w:rFonts w:eastAsia="黑体" w:cs="Times New Roman"/>
        </w:rPr>
        <w:fldChar w:fldCharType="end"/>
      </w:r>
    </w:p>
    <w:p w14:paraId="66F949C3">
      <w:pPr>
        <w:pStyle w:val="15"/>
        <w:tabs>
          <w:tab w:val="right" w:leader="dot" w:pos="8844"/>
        </w:tabs>
      </w:pPr>
      <w:r>
        <w:rPr>
          <w:rFonts w:eastAsia="黑体" w:cs="Times New Roman"/>
        </w:rPr>
        <w:fldChar w:fldCharType="begin"/>
      </w:r>
      <w:r>
        <w:rPr>
          <w:rFonts w:eastAsia="黑体" w:cs="Times New Roman"/>
        </w:rPr>
        <w:instrText xml:space="preserve"> HYPERLINK \l _Toc26386 </w:instrText>
      </w:r>
      <w:r>
        <w:rPr>
          <w:rFonts w:eastAsia="黑体" w:cs="Times New Roman"/>
        </w:rPr>
        <w:fldChar w:fldCharType="separate"/>
      </w:r>
      <w:r>
        <w:rPr>
          <w:rFonts w:hint="eastAsia"/>
          <w:lang w:val="en-US" w:eastAsia="zh-CN"/>
        </w:rPr>
        <w:t>2.改革举措清单</w:t>
      </w:r>
      <w:r>
        <w:tab/>
      </w:r>
      <w:r>
        <w:fldChar w:fldCharType="begin"/>
      </w:r>
      <w:r>
        <w:instrText xml:space="preserve"> PAGEREF _Toc26386 \h </w:instrText>
      </w:r>
      <w:r>
        <w:fldChar w:fldCharType="separate"/>
      </w:r>
      <w:r>
        <w:t>71</w:t>
      </w:r>
      <w:r>
        <w:fldChar w:fldCharType="end"/>
      </w:r>
      <w:r>
        <w:rPr>
          <w:rFonts w:eastAsia="黑体" w:cs="Times New Roman"/>
        </w:rPr>
        <w:fldChar w:fldCharType="end"/>
      </w:r>
    </w:p>
    <w:p w14:paraId="192F940B">
      <w:pPr>
        <w:pStyle w:val="15"/>
        <w:tabs>
          <w:tab w:val="right" w:leader="dot" w:pos="8844"/>
        </w:tabs>
      </w:pPr>
      <w:r>
        <w:rPr>
          <w:rFonts w:eastAsia="黑体" w:cs="Times New Roman"/>
        </w:rPr>
        <w:fldChar w:fldCharType="begin"/>
      </w:r>
      <w:r>
        <w:rPr>
          <w:rFonts w:eastAsia="黑体" w:cs="Times New Roman"/>
        </w:rPr>
        <w:instrText xml:space="preserve"> HYPERLINK \l _Toc19984 </w:instrText>
      </w:r>
      <w:r>
        <w:rPr>
          <w:rFonts w:eastAsia="黑体" w:cs="Times New Roman"/>
        </w:rPr>
        <w:fldChar w:fldCharType="separate"/>
      </w:r>
      <w:r>
        <w:rPr>
          <w:rFonts w:hint="eastAsia"/>
          <w:lang w:val="en-US" w:eastAsia="zh-CN"/>
        </w:rPr>
        <w:t>3.重点项目清单</w:t>
      </w:r>
      <w:r>
        <w:tab/>
      </w:r>
      <w:r>
        <w:fldChar w:fldCharType="begin"/>
      </w:r>
      <w:r>
        <w:instrText xml:space="preserve"> PAGEREF _Toc19984 \h </w:instrText>
      </w:r>
      <w:r>
        <w:fldChar w:fldCharType="separate"/>
      </w:r>
      <w:r>
        <w:t>73</w:t>
      </w:r>
      <w:r>
        <w:fldChar w:fldCharType="end"/>
      </w:r>
      <w:r>
        <w:rPr>
          <w:rFonts w:eastAsia="黑体" w:cs="Times New Roman"/>
        </w:rPr>
        <w:fldChar w:fldCharType="end"/>
      </w:r>
    </w:p>
    <w:p w14:paraId="4D1421A5">
      <w:pPr>
        <w:widowControl w:val="0"/>
        <w:tabs>
          <w:tab w:val="right" w:leader="dot" w:pos="8834"/>
        </w:tabs>
        <w:ind w:left="640" w:firstLine="0" w:firstLineChars="0"/>
        <w:jc w:val="center"/>
        <w:rPr>
          <w:rFonts w:eastAsia="黑体" w:cs="Times New Roman"/>
          <w:szCs w:val="32"/>
        </w:rPr>
        <w:sectPr>
          <w:pgSz w:w="11906" w:h="16838"/>
          <w:pgMar w:top="2098" w:right="1474" w:bottom="1985" w:left="1588" w:header="1134" w:footer="1134" w:gutter="0"/>
          <w:pgNumType w:fmt="upperRoman" w:start="1"/>
          <w:cols w:space="425" w:num="1"/>
          <w:docGrid w:type="linesAndChars" w:linePitch="312" w:charSpace="0"/>
        </w:sectPr>
      </w:pPr>
      <w:r>
        <w:rPr>
          <w:rFonts w:eastAsia="黑体" w:cs="Times New Roman"/>
        </w:rPr>
        <w:fldChar w:fldCharType="end"/>
      </w:r>
    </w:p>
    <w:bookmarkEnd w:id="0"/>
    <w:p w14:paraId="1FB57AA3">
      <w:pPr>
        <w:pStyle w:val="2"/>
        <w:ind w:firstLine="640"/>
        <w:rPr>
          <w:highlight w:val="none"/>
        </w:rPr>
      </w:pPr>
      <w:bookmarkStart w:id="17" w:name="_Toc21452"/>
      <w:bookmarkStart w:id="18" w:name="_Toc29751"/>
      <w:bookmarkStart w:id="19" w:name="_Toc16825"/>
      <w:bookmarkStart w:id="20" w:name="_Toc7760"/>
      <w:bookmarkStart w:id="21" w:name="_Toc12350"/>
      <w:bookmarkStart w:id="22" w:name="_Hlk149230021"/>
      <w:r>
        <w:rPr>
          <w:rFonts w:hint="eastAsia"/>
          <w:highlight w:val="none"/>
        </w:rPr>
        <w:t>一、</w:t>
      </w:r>
      <w:r>
        <w:rPr>
          <w:rFonts w:hint="eastAsia"/>
          <w:highlight w:val="none"/>
          <w:lang w:val="en-US" w:eastAsia="zh-CN"/>
        </w:rPr>
        <w:t>工作</w:t>
      </w:r>
      <w:r>
        <w:rPr>
          <w:rFonts w:hint="eastAsia"/>
          <w:highlight w:val="none"/>
        </w:rPr>
        <w:t>基础</w:t>
      </w:r>
      <w:bookmarkEnd w:id="17"/>
      <w:bookmarkEnd w:id="18"/>
      <w:bookmarkEnd w:id="19"/>
      <w:bookmarkEnd w:id="20"/>
      <w:bookmarkEnd w:id="21"/>
    </w:p>
    <w:p w14:paraId="37B790C8">
      <w:pPr>
        <w:pStyle w:val="3"/>
        <w:ind w:firstLine="640"/>
        <w:rPr>
          <w:highlight w:val="none"/>
        </w:rPr>
      </w:pPr>
      <w:bookmarkStart w:id="23" w:name="_Toc24679"/>
      <w:bookmarkStart w:id="24" w:name="_Toc11679"/>
      <w:bookmarkStart w:id="25" w:name="_Toc19017"/>
      <w:bookmarkStart w:id="26" w:name="_Toc10836"/>
      <w:bookmarkStart w:id="27" w:name="_Toc178"/>
      <w:r>
        <w:rPr>
          <w:rFonts w:hint="eastAsia"/>
          <w:highlight w:val="none"/>
        </w:rPr>
        <w:t>（一）基本情况</w:t>
      </w:r>
      <w:bookmarkEnd w:id="23"/>
      <w:bookmarkEnd w:id="24"/>
      <w:bookmarkEnd w:id="25"/>
      <w:bookmarkEnd w:id="26"/>
      <w:bookmarkEnd w:id="27"/>
    </w:p>
    <w:p w14:paraId="4554EFB2">
      <w:pPr>
        <w:ind w:firstLine="640"/>
        <w:rPr>
          <w:rFonts w:hint="eastAsia"/>
          <w:highlight w:val="none"/>
          <w:lang w:eastAsia="zh-CN"/>
        </w:rPr>
      </w:pPr>
      <w:r>
        <w:rPr>
          <w:rFonts w:hint="eastAsia"/>
          <w:highlight w:val="none"/>
          <w:lang w:eastAsia="zh-CN"/>
        </w:rPr>
        <w:t>石河子</w:t>
      </w:r>
      <w:r>
        <w:rPr>
          <w:highlight w:val="none"/>
        </w:rPr>
        <w:t>经开区</w:t>
      </w:r>
      <w:r>
        <w:rPr>
          <w:rFonts w:hint="eastAsia"/>
          <w:highlight w:val="none"/>
        </w:rPr>
        <w:t>于1992年经自治区人民政府批准设立，2000年4月经国务院批准升格为国家级经济技术开发区，</w:t>
      </w:r>
      <w:r>
        <w:rPr>
          <w:rFonts w:hint="eastAsia"/>
          <w:highlight w:val="none"/>
          <w:lang w:val="en-US" w:eastAsia="zh-CN"/>
        </w:rPr>
        <w:t>实际</w:t>
      </w:r>
      <w:r>
        <w:rPr>
          <w:rFonts w:hint="eastAsia"/>
          <w:highlight w:val="none"/>
        </w:rPr>
        <w:t>管辖面积</w:t>
      </w:r>
      <w:r>
        <w:rPr>
          <w:rFonts w:hint="eastAsia"/>
          <w:highlight w:val="none"/>
          <w:lang w:val="en-US" w:eastAsia="zh-CN"/>
        </w:rPr>
        <w:t>为150.0302</w:t>
      </w:r>
      <w:r>
        <w:rPr>
          <w:rFonts w:hint="eastAsia"/>
          <w:highlight w:val="none"/>
        </w:rPr>
        <w:t>平方公里</w:t>
      </w:r>
      <w:r>
        <w:rPr>
          <w:rFonts w:hint="eastAsia"/>
          <w:highlight w:val="none"/>
          <w:lang w:eastAsia="zh-CN"/>
        </w:rPr>
        <w:t>。</w:t>
      </w:r>
      <w:r>
        <w:rPr>
          <w:rFonts w:hint="eastAsia"/>
          <w:highlight w:val="none"/>
        </w:rPr>
        <w:t>石河子经开区以打造“兵团千亿园区、北疆科技创新中心、丝绸之路经济带北通道枢纽”为战略目标</w:t>
      </w:r>
      <w:r>
        <w:rPr>
          <w:rFonts w:hint="eastAsia"/>
          <w:highlight w:val="none"/>
          <w:lang w:eastAsia="zh-CN"/>
        </w:rPr>
        <w:t>，</w:t>
      </w:r>
      <w:r>
        <w:rPr>
          <w:rFonts w:hint="eastAsia"/>
          <w:highlight w:val="none"/>
        </w:rPr>
        <w:t>通过系统集成改革攻坚、创新要素靶向集聚，推动高质量发展迈上新台阶</w:t>
      </w:r>
      <w:r>
        <w:rPr>
          <w:rFonts w:hint="eastAsia"/>
          <w:highlight w:val="none"/>
          <w:lang w:eastAsia="zh-CN"/>
        </w:rPr>
        <w:t>。</w:t>
      </w:r>
      <w:r>
        <w:rPr>
          <w:rFonts w:hint="eastAsia"/>
          <w:highlight w:val="none"/>
        </w:rPr>
        <w:t>2024年，在全国229家国家级经开区中，石河子经开区综合发展水平排名全国第59位，连续三年排名西部第9位、全疆第一。</w:t>
      </w:r>
    </w:p>
    <w:p w14:paraId="29C9A2C1">
      <w:pPr>
        <w:ind w:firstLine="640"/>
        <w:rPr>
          <w:rFonts w:hint="eastAsia"/>
          <w:highlight w:val="none"/>
        </w:rPr>
      </w:pPr>
      <w:r>
        <w:rPr>
          <w:rFonts w:hint="eastAsia"/>
          <w:highlight w:val="none"/>
          <w:lang w:eastAsia="zh-CN"/>
        </w:rPr>
        <w:t>近年来，石河子</w:t>
      </w:r>
      <w:r>
        <w:rPr>
          <w:rFonts w:hint="eastAsia"/>
          <w:highlight w:val="none"/>
        </w:rPr>
        <w:t>经开区</w:t>
      </w:r>
      <w:r>
        <w:rPr>
          <w:rFonts w:hint="eastAsia"/>
          <w:highlight w:val="none"/>
          <w:lang w:eastAsia="zh-CN"/>
        </w:rPr>
        <w:t>认真贯彻习近平生态文明思想，深入践行“绿水青山就是金山银山”理念，落实高质量发展根本要求，大力推动经济结构转型升级，持续优化能源供应结构，全方位提升生态环保能力水平，营造一流绿色营商环境，使绿色成为园区最深厚的底色。</w:t>
      </w:r>
      <w:r>
        <w:rPr>
          <w:rFonts w:hint="eastAsia"/>
          <w:highlight w:val="none"/>
        </w:rPr>
        <w:t>先后荣获“中国棉纺织名城”“国家加工贸易梯度转移承接地”“国家新型工业化示范基地”“国家级双创示范基地”“国家循环化改造示范基地”等荣誉</w:t>
      </w:r>
      <w:r>
        <w:rPr>
          <w:rFonts w:hint="eastAsia"/>
          <w:highlight w:val="none"/>
          <w:lang w:val="en-US" w:eastAsia="zh-CN"/>
        </w:rPr>
        <w:t>称号</w:t>
      </w:r>
      <w:r>
        <w:rPr>
          <w:rFonts w:hint="eastAsia"/>
          <w:highlight w:val="none"/>
        </w:rPr>
        <w:t>。</w:t>
      </w:r>
    </w:p>
    <w:p w14:paraId="1D640B96">
      <w:pPr>
        <w:ind w:firstLine="0" w:firstLineChars="0"/>
        <w:jc w:val="center"/>
        <w:rPr>
          <w:highlight w:val="none"/>
        </w:rPr>
      </w:pPr>
    </w:p>
    <w:p w14:paraId="2C8C5A5A">
      <w:pPr>
        <w:ind w:firstLine="0" w:firstLineChars="0"/>
        <w:jc w:val="center"/>
        <w:rPr>
          <w:highlight w:val="none"/>
        </w:rPr>
      </w:pPr>
      <w:r>
        <w:rPr>
          <w:highlight w:val="none"/>
        </w:rPr>
        <w:drawing>
          <wp:inline distT="0" distB="0" distL="114300" distR="114300">
            <wp:extent cx="5217160" cy="7536815"/>
            <wp:effectExtent l="0" t="0" r="2540" b="6985"/>
            <wp:docPr id="2" name="图片 2" descr="1df74672caf6af625d8295cf95525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df74672caf6af625d8295cf955257a"/>
                    <pic:cNvPicPr>
                      <a:picLocks noChangeAspect="1"/>
                    </pic:cNvPicPr>
                  </pic:nvPicPr>
                  <pic:blipFill>
                    <a:blip r:embed="rId10"/>
                    <a:srcRect l="2852" t="2120" r="4165" b="2928"/>
                    <a:stretch>
                      <a:fillRect/>
                    </a:stretch>
                  </pic:blipFill>
                  <pic:spPr>
                    <a:xfrm>
                      <a:off x="0" y="0"/>
                      <a:ext cx="5217160" cy="7536815"/>
                    </a:xfrm>
                    <a:prstGeom prst="rect">
                      <a:avLst/>
                    </a:prstGeom>
                  </pic:spPr>
                </pic:pic>
              </a:graphicData>
            </a:graphic>
          </wp:inline>
        </w:drawing>
      </w:r>
    </w:p>
    <w:p w14:paraId="0C1BF36C">
      <w:pPr>
        <w:pStyle w:val="33"/>
        <w:bidi w:val="0"/>
        <w:rPr>
          <w:rFonts w:hint="default" w:eastAsia="黑体"/>
          <w:highlight w:val="none"/>
          <w:lang w:val="en-US" w:eastAsia="zh-CN"/>
        </w:rPr>
      </w:pPr>
      <w:r>
        <w:rPr>
          <w:rFonts w:hint="eastAsia"/>
          <w:highlight w:val="none"/>
          <w:lang w:val="en-US" w:eastAsia="zh-CN"/>
        </w:rPr>
        <w:t>图1-1石河子经开区范围示意图</w:t>
      </w:r>
    </w:p>
    <w:p w14:paraId="337A1413">
      <w:pPr>
        <w:pStyle w:val="4"/>
        <w:rPr>
          <w:rFonts w:hint="default" w:eastAsia="仿宋_GB2312"/>
          <w:highlight w:val="none"/>
          <w:lang w:val="en-US" w:eastAsia="zh-CN"/>
        </w:rPr>
      </w:pPr>
      <w:r>
        <w:rPr>
          <w:rFonts w:hint="eastAsia"/>
          <w:highlight w:val="none"/>
          <w:lang w:val="en-US" w:eastAsia="zh-CN"/>
        </w:rPr>
        <w:t>1</w:t>
      </w:r>
      <w:r>
        <w:rPr>
          <w:rFonts w:hint="eastAsia"/>
          <w:highlight w:val="none"/>
        </w:rPr>
        <w:t xml:space="preserve">. </w:t>
      </w:r>
      <w:r>
        <w:rPr>
          <w:rFonts w:hint="eastAsia"/>
          <w:highlight w:val="none"/>
          <w:lang w:val="en-US" w:eastAsia="zh-CN"/>
        </w:rPr>
        <w:t>交通区位优势明显</w:t>
      </w:r>
    </w:p>
    <w:p w14:paraId="688B4C40">
      <w:pPr>
        <w:ind w:firstLine="640"/>
        <w:rPr>
          <w:rFonts w:hint="eastAsia"/>
          <w:highlight w:val="none"/>
          <w:lang w:val="en-US" w:eastAsia="zh-CN"/>
        </w:rPr>
      </w:pPr>
      <w:r>
        <w:rPr>
          <w:rFonts w:hint="eastAsia"/>
          <w:highlight w:val="none"/>
          <w:lang w:val="en-US" w:eastAsia="zh-CN"/>
        </w:rPr>
        <w:t>石河子经开区是离中亚市场较近的国家级开发区之一。地处天山北麓中段，准噶尔盆地南部，平均海拔450.8米，东以玛纳斯河为界，与玛纳斯县为邻。南、西、北三面与沙湾县环接。东距自治区首府乌鲁木齐150千米，西距边境重镇伊犁州伊宁市549千米。北疆铁路、乌奎高速依城而过，亚欧大陆桥之兰新铁路西段、连霍高速公路和115省道贯穿市区南北两侧，市内公路通达各农牧团场，拥有省道7条、县道16条。</w:t>
      </w:r>
    </w:p>
    <w:p w14:paraId="7D9982A4">
      <w:pPr>
        <w:ind w:left="0" w:leftChars="0" w:firstLine="0" w:firstLineChars="0"/>
        <w:jc w:val="center"/>
        <w:rPr>
          <w:rFonts w:cs="Times New Roman"/>
          <w:color w:val="auto"/>
          <w:highlight w:val="none"/>
        </w:rPr>
      </w:pPr>
      <w:r>
        <w:rPr>
          <w:rFonts w:cs="Times New Roman"/>
          <w:color w:val="auto"/>
          <w:highlight w:val="none"/>
        </w:rPr>
        <w:drawing>
          <wp:inline distT="0" distB="0" distL="114300" distR="114300">
            <wp:extent cx="4414520" cy="2892425"/>
            <wp:effectExtent l="0" t="0" r="0" b="0"/>
            <wp:docPr id="338" name="图片 19"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19" descr="地图&#10;&#10;描述已自动生成"/>
                    <pic:cNvPicPr>
                      <a:picLocks noChangeAspect="1"/>
                    </pic:cNvPicPr>
                  </pic:nvPicPr>
                  <pic:blipFill>
                    <a:blip r:embed="rId11"/>
                    <a:srcRect t="2232" r="1460"/>
                    <a:stretch>
                      <a:fillRect/>
                    </a:stretch>
                  </pic:blipFill>
                  <pic:spPr>
                    <a:xfrm>
                      <a:off x="0" y="0"/>
                      <a:ext cx="4414520" cy="2892425"/>
                    </a:xfrm>
                    <a:prstGeom prst="rect">
                      <a:avLst/>
                    </a:prstGeom>
                    <a:noFill/>
                    <a:ln>
                      <a:noFill/>
                    </a:ln>
                  </pic:spPr>
                </pic:pic>
              </a:graphicData>
            </a:graphic>
          </wp:inline>
        </w:drawing>
      </w:r>
    </w:p>
    <w:p w14:paraId="51FF0440">
      <w:pPr>
        <w:pStyle w:val="33"/>
        <w:bidi w:val="0"/>
        <w:rPr>
          <w:rFonts w:hint="default" w:eastAsia="黑体"/>
          <w:highlight w:val="none"/>
          <w:lang w:val="en-US" w:eastAsia="zh-CN"/>
        </w:rPr>
      </w:pPr>
      <w:r>
        <w:rPr>
          <w:rFonts w:hint="eastAsia"/>
          <w:highlight w:val="none"/>
          <w:lang w:val="en-US" w:eastAsia="zh-CN"/>
        </w:rPr>
        <w:t>图1-2地理区位图</w:t>
      </w:r>
    </w:p>
    <w:p w14:paraId="4A7F93D9">
      <w:pPr>
        <w:pStyle w:val="4"/>
        <w:rPr>
          <w:rFonts w:hint="default" w:eastAsia="仿宋_GB2312"/>
          <w:highlight w:val="none"/>
          <w:lang w:val="en-US" w:eastAsia="zh-CN"/>
        </w:rPr>
      </w:pPr>
      <w:r>
        <w:rPr>
          <w:rFonts w:hint="eastAsia"/>
          <w:highlight w:val="none"/>
          <w:lang w:val="en-US" w:eastAsia="zh-CN"/>
        </w:rPr>
        <w:t>2</w:t>
      </w:r>
      <w:r>
        <w:rPr>
          <w:rFonts w:hint="eastAsia"/>
          <w:highlight w:val="none"/>
        </w:rPr>
        <w:t xml:space="preserve">. </w:t>
      </w:r>
      <w:r>
        <w:rPr>
          <w:rFonts w:hint="eastAsia"/>
          <w:highlight w:val="none"/>
          <w:lang w:val="en-US" w:eastAsia="zh-CN"/>
        </w:rPr>
        <w:t>经济产业实力强劲</w:t>
      </w:r>
    </w:p>
    <w:p w14:paraId="46207FC5">
      <w:pPr>
        <w:ind w:firstLine="640"/>
        <w:rPr>
          <w:rFonts w:hint="eastAsia"/>
          <w:highlight w:val="none"/>
          <w:lang w:eastAsia="zh-CN"/>
        </w:rPr>
      </w:pPr>
      <w:r>
        <w:rPr>
          <w:rFonts w:hint="eastAsia"/>
          <w:highlight w:val="none"/>
          <w:lang w:val="en-US" w:eastAsia="zh-CN"/>
        </w:rPr>
        <w:t>石河子经开区</w:t>
      </w:r>
      <w:r>
        <w:rPr>
          <w:rFonts w:hint="eastAsia"/>
          <w:highlight w:val="none"/>
          <w:lang w:eastAsia="zh-CN"/>
        </w:rPr>
        <w:t>积极融入自治区“十大产业集群”，围绕兵团七大主导产业和21条重点产业链，主动靠前、精准服务，全流程优化土地、资金、能耗等要素保障，2024年，新签约开工项目40个，总投资238.49亿元，其中投资过10亿元的项目6个。</w:t>
      </w:r>
      <w:r>
        <w:rPr>
          <w:rFonts w:hint="eastAsia"/>
          <w:highlight w:val="none"/>
        </w:rPr>
        <w:t>2024年，石河子经开区完成地区生产总值369.1亿元，同比增长6%，占师市比重44.6%；工业总产值完成737.6亿元，占师市比重83.8%；招商引资实物量完成98.95亿元，占师市比重65.7%；税收完成62.9亿元，占师市比重74.3%</w:t>
      </w:r>
      <w:r>
        <w:rPr>
          <w:rFonts w:hint="eastAsia"/>
          <w:highlight w:val="none"/>
          <w:lang w:eastAsia="zh-CN"/>
        </w:rPr>
        <w:t>。</w:t>
      </w:r>
    </w:p>
    <w:p w14:paraId="3F91842A">
      <w:pPr>
        <w:ind w:firstLine="640"/>
        <w:rPr>
          <w:rFonts w:hint="eastAsia"/>
          <w:highlight w:val="none"/>
        </w:rPr>
      </w:pPr>
      <w:r>
        <w:rPr>
          <w:rFonts w:hint="eastAsia"/>
          <w:highlight w:val="none"/>
          <w:lang w:val="en-US" w:eastAsia="zh-CN"/>
        </w:rPr>
        <w:t>石河子经开区</w:t>
      </w:r>
      <w:r>
        <w:rPr>
          <w:rFonts w:hint="eastAsia"/>
          <w:highlight w:val="none"/>
        </w:rPr>
        <w:t>已</w:t>
      </w:r>
      <w:r>
        <w:rPr>
          <w:rFonts w:hint="eastAsia"/>
          <w:highlight w:val="none"/>
          <w:lang w:val="en-US" w:eastAsia="zh-CN"/>
        </w:rPr>
        <w:t>构建</w:t>
      </w:r>
      <w:r>
        <w:rPr>
          <w:rFonts w:hint="eastAsia"/>
          <w:highlight w:val="none"/>
        </w:rPr>
        <w:t>以新材料、新能源、农业资源转化以及现代服务业四大产业集群为主导的现代化产业体系</w:t>
      </w:r>
      <w:r>
        <w:rPr>
          <w:rFonts w:hint="eastAsia"/>
          <w:highlight w:val="none"/>
          <w:lang w:eastAsia="zh-CN"/>
        </w:rPr>
        <w:t>。</w:t>
      </w:r>
      <w:r>
        <w:rPr>
          <w:rFonts w:hint="eastAsia"/>
          <w:highlight w:val="none"/>
        </w:rPr>
        <w:t>全区有规上工业企业85家，营业收入15亿及以上工业企业11家、100亿-500亿工业企业2家，新材料产业总产值占全区比重69%。</w:t>
      </w:r>
      <w:r>
        <w:rPr>
          <w:rFonts w:hint="eastAsia"/>
          <w:highlight w:val="none"/>
          <w:lang w:val="en-US" w:eastAsia="zh-CN"/>
        </w:rPr>
        <w:t>此外，</w:t>
      </w:r>
      <w:r>
        <w:rPr>
          <w:rFonts w:hint="eastAsia"/>
          <w:highlight w:val="none"/>
        </w:rPr>
        <w:t>石河子经开区积极推进产业和能源“双线”绿色转型升级</w:t>
      </w:r>
      <w:r>
        <w:rPr>
          <w:rFonts w:hint="eastAsia"/>
          <w:highlight w:val="none"/>
          <w:lang w:eastAsia="zh-CN"/>
        </w:rPr>
        <w:t>，</w:t>
      </w:r>
      <w:r>
        <w:rPr>
          <w:rFonts w:hint="eastAsia"/>
          <w:highlight w:val="none"/>
        </w:rPr>
        <w:t>围绕打造兵团绿色低碳转型示范区、创新驱动发展先行区、融入丝绸之路经济带核心区建设先行区</w:t>
      </w:r>
      <w:r>
        <w:rPr>
          <w:rFonts w:hint="eastAsia"/>
          <w:highlight w:val="none"/>
          <w:lang w:val="en-US" w:eastAsia="zh-CN"/>
        </w:rPr>
        <w:t>目标</w:t>
      </w:r>
      <w:r>
        <w:rPr>
          <w:rFonts w:hint="eastAsia"/>
          <w:highlight w:val="none"/>
        </w:rPr>
        <w:t>，</w:t>
      </w:r>
      <w:r>
        <w:rPr>
          <w:rFonts w:hint="eastAsia"/>
          <w:highlight w:val="none"/>
          <w:lang w:val="en-US" w:eastAsia="zh-CN"/>
        </w:rPr>
        <w:t>重点布局</w:t>
      </w:r>
      <w:r>
        <w:rPr>
          <w:rFonts w:hint="eastAsia"/>
          <w:highlight w:val="none"/>
        </w:rPr>
        <w:t>新能源、智能制造、生物医药等前沿领域。</w:t>
      </w:r>
    </w:p>
    <w:p w14:paraId="62FF3AD9">
      <w:pPr>
        <w:ind w:firstLine="640"/>
        <w:rPr>
          <w:rFonts w:hint="eastAsia"/>
          <w:highlight w:val="none"/>
        </w:rPr>
      </w:pPr>
      <w:r>
        <w:rPr>
          <w:rFonts w:hint="eastAsia"/>
          <w:b/>
          <w:bCs/>
          <w:highlight w:val="none"/>
        </w:rPr>
        <w:t>新材料产业集群，</w:t>
      </w:r>
      <w:r>
        <w:rPr>
          <w:rFonts w:hint="eastAsia"/>
          <w:b w:val="0"/>
          <w:bCs w:val="0"/>
          <w:highlight w:val="none"/>
          <w:lang w:val="en-US" w:eastAsia="zh-CN"/>
        </w:rPr>
        <w:t>在化工新材料领域，以新疆天业为链主企业，国林环保、东华天业等为骨干企业，构建起140万吨聚氯乙烯树脂、100万吨离子膜烧碱、20万吨14-丁二醇、35万吨乙二醇、245万吨电石、新型干法电石渣制水泥400万吨、600万亩节水器材、10万吨PBAT可降解塑料、2.5万吨乙醛酸的产业规模；在铝基新材料领域，以天山铝业为链主企业，新疆众和、安兴电子、西部宏远电子等为骨干企业，构建起140万吨电解铝、11.5万吨高纯铝、30万吨电池铝箔坯料、4400万平方米电极箔的产业规模；在硅基新材料领域，以合盛硅业、大全能源为链主企业，天科合达、华兴玻璃等为骨干企业，构建起40万吨高品质工业硅、20万吨有机硅、13万吨多晶硅、2300锭碳化硅单晶、230吨高纯碳化硅粉料、8.5万吨玻璃瓶的产业规模</w:t>
      </w:r>
      <w:r>
        <w:rPr>
          <w:rFonts w:hint="eastAsia"/>
          <w:highlight w:val="none"/>
        </w:rPr>
        <w:t>。</w:t>
      </w:r>
      <w:r>
        <w:rPr>
          <w:rFonts w:hint="eastAsia"/>
          <w:b/>
          <w:bCs/>
          <w:highlight w:val="none"/>
        </w:rPr>
        <w:t>新能源产业集群，</w:t>
      </w:r>
      <w:r>
        <w:rPr>
          <w:rFonts w:hint="eastAsia"/>
          <w:highlight w:val="none"/>
        </w:rPr>
        <w:t>实现</w:t>
      </w:r>
      <w:r>
        <w:rPr>
          <w:rFonts w:hint="eastAsia"/>
          <w:highlight w:val="none"/>
          <w:lang w:val="en-US" w:eastAsia="zh-CN"/>
        </w:rPr>
        <w:t>可再生能源</w:t>
      </w:r>
      <w:r>
        <w:rPr>
          <w:rFonts w:hint="eastAsia"/>
          <w:highlight w:val="none"/>
        </w:rPr>
        <w:t>装机225万千瓦，年发电量35亿度。</w:t>
      </w:r>
      <w:r>
        <w:rPr>
          <w:rFonts w:hint="eastAsia"/>
          <w:b/>
          <w:bCs/>
          <w:highlight w:val="none"/>
        </w:rPr>
        <w:t>农业资源转化产业集群，</w:t>
      </w:r>
      <w:r>
        <w:rPr>
          <w:rFonts w:hint="eastAsia" w:ascii="Times New Roman" w:hAnsi="Times New Roman" w:cs="Times New Roman"/>
          <w:color w:val="auto"/>
          <w:kern w:val="0"/>
          <w:sz w:val="32"/>
          <w:szCs w:val="32"/>
          <w:highlight w:val="none"/>
          <w:u w:val="none"/>
          <w:lang w:val="en-US" w:eastAsia="zh-CN"/>
        </w:rPr>
        <w:t>依托环锭113.2万锭，</w:t>
      </w:r>
      <w:r>
        <w:rPr>
          <w:rFonts w:hint="default" w:ascii="Times New Roman" w:hAnsi="Times New Roman" w:eastAsia="仿宋_GB2312" w:cs="Times New Roman"/>
          <w:color w:val="auto"/>
          <w:kern w:val="2"/>
          <w:sz w:val="32"/>
          <w:szCs w:val="32"/>
          <w:highlight w:val="none"/>
          <w:lang w:val="en-US" w:eastAsia="zh-CN" w:bidi="ar"/>
        </w:rPr>
        <w:t>气流纺3.08万头、织机343台，</w:t>
      </w:r>
      <w:r>
        <w:rPr>
          <w:rFonts w:hint="eastAsia" w:ascii="Times New Roman" w:hAnsi="Times New Roman" w:cs="Times New Roman"/>
          <w:color w:val="auto"/>
          <w:kern w:val="0"/>
          <w:sz w:val="32"/>
          <w:szCs w:val="32"/>
          <w:highlight w:val="none"/>
          <w:u w:val="none"/>
          <w:lang w:val="en-US" w:eastAsia="zh-CN"/>
        </w:rPr>
        <w:t>建成“纺纱→织布→印染→成衣”棉纺织全产业链</w:t>
      </w:r>
      <w:r>
        <w:rPr>
          <w:rFonts w:hint="eastAsia"/>
          <w:highlight w:val="none"/>
          <w:lang w:eastAsia="zh-CN"/>
        </w:rPr>
        <w:t>，</w:t>
      </w:r>
      <w:r>
        <w:rPr>
          <w:rFonts w:hint="eastAsia"/>
          <w:highlight w:val="none"/>
        </w:rPr>
        <w:t>食品饮品加工制造能力达到</w:t>
      </w:r>
      <w:r>
        <w:rPr>
          <w:rFonts w:hint="eastAsia"/>
          <w:highlight w:val="none"/>
          <w:lang w:val="en-US" w:eastAsia="zh-CN"/>
        </w:rPr>
        <w:t>163万吨</w:t>
      </w:r>
      <w:r>
        <w:rPr>
          <w:rFonts w:hint="eastAsia"/>
          <w:highlight w:val="none"/>
        </w:rPr>
        <w:t>/年。</w:t>
      </w:r>
      <w:r>
        <w:rPr>
          <w:rFonts w:hint="eastAsia"/>
          <w:b/>
          <w:bCs/>
          <w:highlight w:val="none"/>
        </w:rPr>
        <w:t>现代服务产业集群，</w:t>
      </w:r>
      <w:r>
        <w:rPr>
          <w:rFonts w:hint="eastAsia"/>
          <w:highlight w:val="none"/>
        </w:rPr>
        <w:t>聚集生产性服务企业27家，信息技术企业5家，通航服务企业2家，环保科技企业1家。</w:t>
      </w:r>
    </w:p>
    <w:p w14:paraId="637A93C3">
      <w:pPr>
        <w:pStyle w:val="4"/>
        <w:rPr>
          <w:rFonts w:hint="default" w:eastAsia="仿宋_GB2312"/>
          <w:highlight w:val="none"/>
          <w:lang w:val="en-US" w:eastAsia="zh-CN"/>
        </w:rPr>
      </w:pPr>
      <w:r>
        <w:rPr>
          <w:rFonts w:hint="eastAsia"/>
          <w:highlight w:val="none"/>
          <w:lang w:val="en-US" w:eastAsia="zh-CN"/>
        </w:rPr>
        <w:t>3</w:t>
      </w:r>
      <w:r>
        <w:rPr>
          <w:rFonts w:hint="eastAsia"/>
          <w:highlight w:val="none"/>
        </w:rPr>
        <w:t xml:space="preserve">. </w:t>
      </w:r>
      <w:r>
        <w:rPr>
          <w:rFonts w:hint="eastAsia"/>
          <w:highlight w:val="none"/>
          <w:lang w:val="en-US" w:eastAsia="zh-CN"/>
        </w:rPr>
        <w:t>科技创新成效显著</w:t>
      </w:r>
    </w:p>
    <w:p w14:paraId="7D69D92C">
      <w:pPr>
        <w:rPr>
          <w:rFonts w:hint="eastAsia" w:eastAsia="仿宋_GB2312"/>
          <w:highlight w:val="none"/>
          <w:lang w:val="en-US" w:eastAsia="zh-CN"/>
        </w:rPr>
      </w:pPr>
      <w:r>
        <w:rPr>
          <w:rFonts w:hint="eastAsia"/>
          <w:highlight w:val="none"/>
        </w:rPr>
        <w:t>石河子经开区</w:t>
      </w:r>
      <w:r>
        <w:rPr>
          <w:rFonts w:hint="eastAsia"/>
          <w:highlight w:val="none"/>
          <w:lang w:val="en-US" w:eastAsia="zh-CN"/>
        </w:rPr>
        <w:t>坚持</w:t>
      </w:r>
      <w:r>
        <w:rPr>
          <w:rFonts w:hint="eastAsia"/>
          <w:highlight w:val="none"/>
        </w:rPr>
        <w:t>以科技创新赋能产业焕新、以产业焕新倒逼科技创新的高质量发展之路</w:t>
      </w:r>
      <w:r>
        <w:rPr>
          <w:rFonts w:hint="eastAsia"/>
          <w:highlight w:val="none"/>
          <w:lang w:eastAsia="zh-CN"/>
        </w:rPr>
        <w:t>，</w:t>
      </w:r>
      <w:r>
        <w:rPr>
          <w:rFonts w:hint="eastAsia"/>
          <w:highlight w:val="none"/>
        </w:rPr>
        <w:t>随着国家技术转移西北中心兵团分中心等高层级平台相继落地园区，联合长三角研究院开展的“高灵敏肿瘤分子检测技术项目”、新疆硕利迪生物技术有限公司开发的“生物血液制剂产业化项目”等一批标志性成果加速涌现，石河子经开区已成为在全疆具有重要影响力的科技创新成果转化应用高地</w:t>
      </w:r>
      <w:r>
        <w:rPr>
          <w:rFonts w:hint="eastAsia"/>
          <w:highlight w:val="none"/>
          <w:lang w:eastAsia="zh-CN"/>
        </w:rPr>
        <w:t>。</w:t>
      </w:r>
      <w:r>
        <w:rPr>
          <w:rFonts w:hint="eastAsia"/>
          <w:highlight w:val="none"/>
        </w:rPr>
        <w:t>2024年，石河子经开区高新技术企业数量达到84家，同比增长23.5%；科技型中小企业达到118家，同比增长12.4%；兵团“专精特新”中小企业39家，同比增长26.7%；兵团创新型中小企业39家，同比增长52%。</w:t>
      </w:r>
    </w:p>
    <w:p w14:paraId="78432DBD">
      <w:pPr>
        <w:pStyle w:val="4"/>
        <w:rPr>
          <w:rFonts w:hint="default" w:eastAsia="仿宋_GB2312"/>
          <w:highlight w:val="none"/>
          <w:lang w:val="en-US" w:eastAsia="zh-CN"/>
        </w:rPr>
      </w:pPr>
      <w:r>
        <w:rPr>
          <w:rFonts w:hint="eastAsia"/>
          <w:highlight w:val="none"/>
          <w:lang w:val="en-US" w:eastAsia="zh-CN"/>
        </w:rPr>
        <w:t>4</w:t>
      </w:r>
      <w:r>
        <w:rPr>
          <w:rFonts w:hint="eastAsia"/>
          <w:highlight w:val="none"/>
        </w:rPr>
        <w:t xml:space="preserve">. </w:t>
      </w:r>
      <w:r>
        <w:rPr>
          <w:rFonts w:hint="eastAsia"/>
          <w:highlight w:val="none"/>
          <w:lang w:val="en-US" w:eastAsia="zh-CN"/>
        </w:rPr>
        <w:t>营商环境不断优化</w:t>
      </w:r>
    </w:p>
    <w:p w14:paraId="590D231E">
      <w:pPr>
        <w:rPr>
          <w:rFonts w:hint="eastAsia"/>
          <w:highlight w:val="none"/>
        </w:rPr>
      </w:pPr>
      <w:r>
        <w:rPr>
          <w:rFonts w:hint="eastAsia"/>
          <w:highlight w:val="none"/>
        </w:rPr>
        <w:t>石河子经开区构建起‘政府+属地+企业’三级联动模式，将帮办代办、跨域通办、一件事全办等政务服务模式纳入服务范畴</w:t>
      </w:r>
      <w:r>
        <w:rPr>
          <w:rFonts w:hint="eastAsia"/>
          <w:highlight w:val="none"/>
          <w:lang w:eastAsia="zh-CN"/>
        </w:rPr>
        <w:t>，</w:t>
      </w:r>
      <w:r>
        <w:rPr>
          <w:rFonts w:hint="eastAsia"/>
          <w:highlight w:val="none"/>
        </w:rPr>
        <w:t>在石河子经开区商务中心启动运营“跑帮办”服务大厅，设有绿洲孵化器等14个业务服务窗口，承接兵团和师市行政审批和执法权205项</w:t>
      </w:r>
      <w:r>
        <w:rPr>
          <w:rFonts w:hint="eastAsia"/>
          <w:highlight w:val="none"/>
          <w:lang w:eastAsia="zh-CN"/>
        </w:rPr>
        <w:t>，</w:t>
      </w:r>
      <w:r>
        <w:rPr>
          <w:rFonts w:hint="eastAsia"/>
          <w:highlight w:val="none"/>
        </w:rPr>
        <w:t>实现了</w:t>
      </w:r>
      <w:r>
        <w:rPr>
          <w:rFonts w:hint="eastAsia"/>
          <w:highlight w:val="none"/>
          <w:lang w:eastAsia="zh-CN"/>
        </w:rPr>
        <w:t>“</w:t>
      </w:r>
      <w:r>
        <w:rPr>
          <w:rFonts w:hint="eastAsia"/>
          <w:highlight w:val="none"/>
        </w:rPr>
        <w:t>只进一扇门、最多跑一次</w:t>
      </w:r>
      <w:r>
        <w:rPr>
          <w:rFonts w:hint="eastAsia"/>
          <w:highlight w:val="none"/>
          <w:lang w:eastAsia="zh-CN"/>
        </w:rPr>
        <w:t>”</w:t>
      </w:r>
      <w:r>
        <w:rPr>
          <w:rFonts w:hint="eastAsia"/>
          <w:highlight w:val="none"/>
        </w:rPr>
        <w:t>。</w:t>
      </w:r>
      <w:r>
        <w:rPr>
          <w:rFonts w:hint="eastAsia"/>
          <w:highlight w:val="none"/>
          <w:lang w:val="en-US" w:eastAsia="zh-CN"/>
        </w:rPr>
        <w:t>此外，</w:t>
      </w:r>
      <w:r>
        <w:rPr>
          <w:rFonts w:hint="eastAsia"/>
          <w:highlight w:val="none"/>
        </w:rPr>
        <w:t>石河子经开区</w:t>
      </w:r>
      <w:r>
        <w:rPr>
          <w:rFonts w:hint="eastAsia"/>
          <w:highlight w:val="none"/>
          <w:lang w:val="en-US" w:eastAsia="zh-CN"/>
        </w:rPr>
        <w:t>积极</w:t>
      </w:r>
      <w:r>
        <w:rPr>
          <w:rFonts w:hint="eastAsia"/>
          <w:highlight w:val="none"/>
        </w:rPr>
        <w:t>探索建立产业链招商、项目评审、项目全生命周期服务和触发式兑现优惠政策四项机制，下功夫延链、补链、强链</w:t>
      </w:r>
      <w:r>
        <w:rPr>
          <w:rFonts w:hint="eastAsia"/>
          <w:highlight w:val="none"/>
          <w:lang w:eastAsia="zh-CN"/>
        </w:rPr>
        <w:t>。</w:t>
      </w:r>
      <w:r>
        <w:rPr>
          <w:rFonts w:hint="eastAsia"/>
          <w:highlight w:val="none"/>
        </w:rPr>
        <w:t>截至2024年底，石河子经开区共有注册企业4000多家，培育“四上”企业220余家、上市公司6家，中国能源500强企业2家。</w:t>
      </w:r>
    </w:p>
    <w:p w14:paraId="04106D55">
      <w:pPr>
        <w:pStyle w:val="4"/>
        <w:rPr>
          <w:rFonts w:hint="default"/>
          <w:highlight w:val="none"/>
          <w:lang w:val="en-US" w:eastAsia="zh-CN"/>
        </w:rPr>
      </w:pPr>
      <w:r>
        <w:rPr>
          <w:rFonts w:hint="eastAsia"/>
          <w:highlight w:val="none"/>
          <w:lang w:val="en-US" w:eastAsia="zh-CN"/>
        </w:rPr>
        <w:t>5</w:t>
      </w:r>
      <w:r>
        <w:rPr>
          <w:rFonts w:hint="eastAsia"/>
          <w:highlight w:val="none"/>
        </w:rPr>
        <w:t xml:space="preserve">. </w:t>
      </w:r>
      <w:r>
        <w:rPr>
          <w:rFonts w:hint="eastAsia"/>
          <w:highlight w:val="none"/>
          <w:lang w:val="en-US" w:eastAsia="zh-CN"/>
        </w:rPr>
        <w:t>对外开放</w:t>
      </w:r>
      <w:r>
        <w:rPr>
          <w:rFonts w:hint="eastAsia"/>
          <w:highlight w:val="none"/>
          <w:lang w:val="en-US"/>
        </w:rPr>
        <w:t>提质增效</w:t>
      </w:r>
    </w:p>
    <w:p w14:paraId="7C04635D">
      <w:pPr>
        <w:rPr>
          <w:rFonts w:hint="eastAsia"/>
          <w:highlight w:val="none"/>
        </w:rPr>
      </w:pPr>
      <w:r>
        <w:rPr>
          <w:rFonts w:hint="eastAsia"/>
          <w:highlight w:val="none"/>
        </w:rPr>
        <w:t>作为全疆唯一的生产服务型国家物流枢纽，石河子经开区不仅是新疆和兵团新型工业化战略的重要承载地，更是丝绸之路经济带核心区节点上的开放高地</w:t>
      </w:r>
      <w:r>
        <w:rPr>
          <w:rFonts w:hint="eastAsia"/>
          <w:highlight w:val="none"/>
          <w:lang w:eastAsia="zh-CN"/>
        </w:rPr>
        <w:t>。</w:t>
      </w:r>
      <w:r>
        <w:rPr>
          <w:rFonts w:hint="eastAsia"/>
          <w:highlight w:val="none"/>
        </w:rPr>
        <w:t>石河子经开区依托“公铁空”立体交通网络与海关特殊监管优势，凭借“双港”现代物流加工产业园、中新建多式联运港等载体，逐步搭建起横跨亚欧的供应链中枢体系。创新打造工贸融合、内外贸一体的国际商事服务平台，布局开发区、塔城、霍尔果斯、阿拉木图、塔什干、莫斯科等商事服务窗口及开发区国际工业园、巴克特工业园等产业基地，与周边国家开展深度经贸合作交流。2024年，石河子经开区新增外贸企业20家。</w:t>
      </w:r>
    </w:p>
    <w:p w14:paraId="6FD9DA1C">
      <w:pPr>
        <w:rPr>
          <w:rFonts w:hint="eastAsia" w:eastAsia="仿宋_GB2312"/>
          <w:highlight w:val="none"/>
          <w:lang w:val="en-US" w:eastAsia="zh-CN"/>
        </w:rPr>
      </w:pPr>
      <w:r>
        <w:rPr>
          <w:rFonts w:hint="eastAsia"/>
          <w:highlight w:val="none"/>
        </w:rPr>
        <w:t>与此同时，石河子经开区着眼打造“跨境商贸+城市消费”双生态圈，以温州国际商城跨境展销平台为支点，联动万达集团、友好集团等商业体，逐步形成外贸优品供应链。</w:t>
      </w:r>
      <w:r>
        <w:rPr>
          <w:rFonts w:hint="eastAsia"/>
          <w:highlight w:val="none"/>
          <w:lang w:val="en-US" w:eastAsia="zh-CN"/>
        </w:rPr>
        <w:t>通过打造</w:t>
      </w:r>
      <w:r>
        <w:rPr>
          <w:rFonts w:hint="eastAsia"/>
          <w:highlight w:val="none"/>
        </w:rPr>
        <w:t>“通道+枢纽+网络”的系统集成，石河子</w:t>
      </w:r>
      <w:r>
        <w:rPr>
          <w:rFonts w:hint="eastAsia"/>
          <w:highlight w:val="none"/>
          <w:lang w:val="en-US" w:eastAsia="zh-CN"/>
        </w:rPr>
        <w:t>经开区正</w:t>
      </w:r>
      <w:r>
        <w:rPr>
          <w:rFonts w:hint="eastAsia"/>
          <w:highlight w:val="none"/>
        </w:rPr>
        <w:t>从传统物流节点向具备智能物流、跨境商贸、产能协作等复合功能的丝绸之路经济带核心区建设先行区迈进。</w:t>
      </w:r>
    </w:p>
    <w:p w14:paraId="304239B4">
      <w:pPr>
        <w:pStyle w:val="3"/>
        <w:ind w:firstLine="640"/>
        <w:rPr>
          <w:rFonts w:hint="eastAsia" w:eastAsia="楷体_GB2312"/>
          <w:highlight w:val="none"/>
          <w:lang w:eastAsia="zh-CN"/>
        </w:rPr>
      </w:pPr>
      <w:bookmarkStart w:id="28" w:name="_Toc2002"/>
      <w:bookmarkStart w:id="29" w:name="_Toc26160"/>
      <w:bookmarkStart w:id="30" w:name="_Toc2009"/>
      <w:bookmarkStart w:id="31" w:name="_Toc27345"/>
      <w:bookmarkStart w:id="32" w:name="_Toc16993"/>
      <w:r>
        <w:rPr>
          <w:rFonts w:hint="eastAsia"/>
          <w:highlight w:val="none"/>
        </w:rPr>
        <w:t>（二）能耗和碳排放情况</w:t>
      </w:r>
      <w:bookmarkEnd w:id="28"/>
      <w:bookmarkEnd w:id="29"/>
      <w:bookmarkEnd w:id="30"/>
      <w:bookmarkEnd w:id="31"/>
      <w:bookmarkEnd w:id="32"/>
    </w:p>
    <w:p w14:paraId="23331700">
      <w:pPr>
        <w:pStyle w:val="4"/>
        <w:rPr>
          <w:rFonts w:hint="default" w:eastAsia="仿宋_GB2312"/>
          <w:highlight w:val="none"/>
          <w:lang w:val="en-US" w:eastAsia="zh-CN"/>
        </w:rPr>
      </w:pPr>
      <w:r>
        <w:rPr>
          <w:rFonts w:hint="eastAsia"/>
          <w:highlight w:val="none"/>
          <w:lang w:val="en-US" w:eastAsia="zh-CN"/>
        </w:rPr>
        <w:t>1</w:t>
      </w:r>
      <w:r>
        <w:rPr>
          <w:rFonts w:hint="eastAsia"/>
          <w:highlight w:val="none"/>
        </w:rPr>
        <w:t xml:space="preserve">. </w:t>
      </w:r>
      <w:r>
        <w:rPr>
          <w:rFonts w:hint="eastAsia"/>
          <w:highlight w:val="none"/>
          <w:lang w:val="en-US" w:eastAsia="zh-CN"/>
        </w:rPr>
        <w:t>能源消费情况</w:t>
      </w:r>
    </w:p>
    <w:p w14:paraId="2F4552B7">
      <w:pPr>
        <w:ind w:firstLine="640"/>
        <w:rPr>
          <w:rFonts w:hint="default" w:ascii="Times New Roman" w:hAnsi="Times New Roman"/>
          <w:highlight w:val="none"/>
          <w:lang w:val="en-US" w:eastAsia="zh-CN"/>
        </w:rPr>
      </w:pPr>
      <w:r>
        <w:rPr>
          <w:rFonts w:hint="eastAsia"/>
          <w:highlight w:val="none"/>
          <w:lang w:val="en-US" w:eastAsia="zh-CN"/>
        </w:rPr>
        <w:t>2020年至2024年，石河子经开区综合能源消费量从1040万吨标准煤上升至1287万吨标准煤，年均增长率为5.47%。其中，2021年相比2020年综合能源消费量增长3.46%，这是因为</w:t>
      </w:r>
      <w:r>
        <w:rPr>
          <w:rFonts w:hint="eastAsia"/>
          <w:highlight w:val="none"/>
        </w:rPr>
        <w:t>合盛硅业、大全能源</w:t>
      </w:r>
      <w:r>
        <w:rPr>
          <w:rFonts w:hint="eastAsia"/>
          <w:highlight w:val="none"/>
          <w:lang w:val="en-US" w:eastAsia="zh-CN"/>
        </w:rPr>
        <w:t>等企业相继投产运行</w:t>
      </w:r>
      <w:r>
        <w:rPr>
          <w:rFonts w:hint="eastAsia"/>
          <w:highlight w:val="none"/>
        </w:rPr>
        <w:t>多晶硅、工业硅项目</w:t>
      </w:r>
      <w:r>
        <w:rPr>
          <w:rFonts w:hint="eastAsia"/>
          <w:highlight w:val="none"/>
          <w:lang w:val="en-US" w:eastAsia="zh-CN"/>
        </w:rPr>
        <w:t>，导致用能呈现小幅度增长。2021年至2023年综合能源消费量保持相对稳定状态，2024年相比2023年综合能源消费量增长17.83%，增长幅度较大，这主要是因为在2024年，</w:t>
      </w:r>
      <w:r>
        <w:rPr>
          <w:rFonts w:hint="eastAsia"/>
          <w:highlight w:val="none"/>
        </w:rPr>
        <w:t>天业汇合</w:t>
      </w:r>
      <w:r>
        <w:rPr>
          <w:rFonts w:hint="eastAsia"/>
          <w:highlight w:val="none"/>
          <w:lang w:val="en-US" w:eastAsia="zh-CN"/>
        </w:rPr>
        <w:t>等在石河子经开区十户滩区相继投产运行多条绿色</w:t>
      </w:r>
      <w:r>
        <w:rPr>
          <w:rFonts w:hint="eastAsia"/>
          <w:highlight w:val="none"/>
        </w:rPr>
        <w:t>化工</w:t>
      </w:r>
      <w:r>
        <w:rPr>
          <w:rFonts w:hint="eastAsia"/>
          <w:highlight w:val="none"/>
          <w:lang w:eastAsia="zh-CN"/>
        </w:rPr>
        <w:t>、</w:t>
      </w:r>
      <w:r>
        <w:rPr>
          <w:rFonts w:hint="eastAsia"/>
          <w:highlight w:val="none"/>
        </w:rPr>
        <w:t>新材料</w:t>
      </w:r>
      <w:r>
        <w:rPr>
          <w:rFonts w:hint="eastAsia"/>
          <w:highlight w:val="none"/>
          <w:lang w:val="en-US" w:eastAsia="zh-CN"/>
        </w:rPr>
        <w:t>生产线。</w:t>
      </w:r>
    </w:p>
    <w:p w14:paraId="63182601">
      <w:pPr>
        <w:ind w:firstLine="640"/>
        <w:rPr>
          <w:rFonts w:hint="default"/>
          <w:highlight w:val="none"/>
          <w:lang w:val="en-US" w:eastAsia="zh-CN"/>
        </w:rPr>
      </w:pPr>
      <w:r>
        <w:rPr>
          <w:rFonts w:hint="eastAsia"/>
          <w:highlight w:val="none"/>
          <w:lang w:val="en-US" w:eastAsia="zh-CN"/>
        </w:rPr>
        <w:t>2020年至2024年，石河子经开区能耗强度从8.13</w:t>
      </w:r>
      <w:r>
        <w:rPr>
          <w:rFonts w:hint="eastAsia"/>
          <w:highlight w:val="none"/>
        </w:rPr>
        <w:t>吨标准煤/万元</w:t>
      </w:r>
      <w:r>
        <w:rPr>
          <w:rFonts w:hint="eastAsia"/>
          <w:highlight w:val="none"/>
          <w:lang w:val="en-US" w:eastAsia="zh-CN"/>
        </w:rPr>
        <w:t>下降至5.06</w:t>
      </w:r>
      <w:r>
        <w:rPr>
          <w:rFonts w:hint="eastAsia"/>
          <w:highlight w:val="none"/>
        </w:rPr>
        <w:t>吨标准煤/万元</w:t>
      </w:r>
      <w:r>
        <w:rPr>
          <w:rFonts w:hint="eastAsia"/>
          <w:highlight w:val="none"/>
          <w:lang w:val="en-US" w:eastAsia="zh-CN"/>
        </w:rPr>
        <w:t>，年均下降率为11.15%。2021年以来，园区多晶硅、工业硅项目产能快速提升，带动规模以上工业增加值快速增长，能耗强度呈现明显下降趋势。由于园区内新材料产业受市场价格因素影响较大，导致规模以上工业增加值有所浮动，</w:t>
      </w:r>
      <w:r>
        <w:rPr>
          <w:rFonts w:hint="eastAsia" w:ascii="Times New Roman" w:hAnsi="Times New Roman"/>
          <w:highlight w:val="none"/>
          <w:lang w:val="en-US" w:eastAsia="zh-CN"/>
        </w:rPr>
        <w:t>在202</w:t>
      </w:r>
      <w:r>
        <w:rPr>
          <w:rFonts w:hint="eastAsia"/>
          <w:highlight w:val="none"/>
          <w:lang w:val="en-US" w:eastAsia="zh-CN"/>
        </w:rPr>
        <w:t>4</w:t>
      </w:r>
      <w:r>
        <w:rPr>
          <w:rFonts w:hint="eastAsia" w:ascii="Times New Roman" w:hAnsi="Times New Roman"/>
          <w:highlight w:val="none"/>
          <w:lang w:val="en-US" w:eastAsia="zh-CN"/>
        </w:rPr>
        <w:t>年度，受到硅材料市场价格</w:t>
      </w:r>
      <w:r>
        <w:rPr>
          <w:rFonts w:hint="eastAsia"/>
          <w:highlight w:val="none"/>
          <w:lang w:val="en-US" w:eastAsia="zh-CN"/>
        </w:rPr>
        <w:t>波动</w:t>
      </w:r>
      <w:r>
        <w:rPr>
          <w:rFonts w:hint="eastAsia" w:ascii="Times New Roman" w:hAnsi="Times New Roman"/>
          <w:highlight w:val="none"/>
          <w:lang w:val="en-US" w:eastAsia="zh-CN"/>
        </w:rPr>
        <w:t>影响，</w:t>
      </w:r>
      <w:r>
        <w:rPr>
          <w:rFonts w:hint="eastAsia"/>
          <w:highlight w:val="none"/>
          <w:lang w:val="en-US" w:eastAsia="zh-CN"/>
        </w:rPr>
        <w:t>同时综合能源消费量有明显增加，导致能耗强度有所增长。</w:t>
      </w:r>
    </w:p>
    <w:p w14:paraId="1995274F">
      <w:pPr>
        <w:pStyle w:val="33"/>
        <w:bidi w:val="0"/>
        <w:rPr>
          <w:rFonts w:hint="eastAsia" w:eastAsia="黑体"/>
          <w:highlight w:val="none"/>
          <w:lang w:val="en-US" w:eastAsia="zh-CN"/>
        </w:rPr>
      </w:pPr>
      <w:r>
        <w:rPr>
          <w:highlight w:val="none"/>
        </w:rPr>
        <w:t>表1-</w:t>
      </w:r>
      <w:r>
        <w:rPr>
          <w:rFonts w:hint="eastAsia"/>
          <w:highlight w:val="none"/>
          <w:lang w:val="en-US" w:eastAsia="zh-CN"/>
        </w:rPr>
        <w:t>1石河子经开区综合能源消费量和</w:t>
      </w:r>
      <w:r>
        <w:rPr>
          <w:highlight w:val="none"/>
        </w:rPr>
        <w:t>能耗强度</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9"/>
        <w:gridCol w:w="2537"/>
        <w:gridCol w:w="2537"/>
        <w:gridCol w:w="2537"/>
      </w:tblGrid>
      <w:tr w14:paraId="2C032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799" w:type="pct"/>
            <w:noWrap/>
            <w:vAlign w:val="center"/>
          </w:tcPr>
          <w:p w14:paraId="1081CA5C">
            <w:pPr>
              <w:pStyle w:val="35"/>
              <w:jc w:val="center"/>
              <w:rPr>
                <w:b/>
                <w:bCs/>
                <w:highlight w:val="none"/>
              </w:rPr>
            </w:pPr>
            <w:r>
              <w:rPr>
                <w:b/>
                <w:bCs/>
                <w:highlight w:val="none"/>
              </w:rPr>
              <w:t>年份</w:t>
            </w:r>
          </w:p>
        </w:tc>
        <w:tc>
          <w:tcPr>
            <w:tcW w:w="1400" w:type="pct"/>
            <w:noWrap/>
            <w:vAlign w:val="center"/>
          </w:tcPr>
          <w:p w14:paraId="1299086D">
            <w:pPr>
              <w:pStyle w:val="35"/>
              <w:jc w:val="center"/>
              <w:rPr>
                <w:b/>
                <w:bCs/>
                <w:highlight w:val="none"/>
              </w:rPr>
            </w:pPr>
            <w:r>
              <w:rPr>
                <w:rFonts w:hint="eastAsia"/>
                <w:b/>
                <w:bCs/>
                <w:highlight w:val="none"/>
                <w:lang w:val="en-US" w:eastAsia="zh-CN"/>
              </w:rPr>
              <w:t>规模以上工业增加值</w:t>
            </w:r>
            <w:r>
              <w:rPr>
                <w:rFonts w:hint="eastAsia"/>
                <w:b/>
                <w:bCs/>
                <w:highlight w:val="none"/>
              </w:rPr>
              <w:t>（亿元）</w:t>
            </w:r>
          </w:p>
        </w:tc>
        <w:tc>
          <w:tcPr>
            <w:tcW w:w="1400" w:type="pct"/>
            <w:noWrap/>
            <w:vAlign w:val="center"/>
          </w:tcPr>
          <w:p w14:paraId="3CBBFEAB">
            <w:pPr>
              <w:pStyle w:val="35"/>
              <w:jc w:val="center"/>
              <w:rPr>
                <w:b/>
                <w:bCs/>
                <w:highlight w:val="none"/>
              </w:rPr>
            </w:pPr>
            <w:r>
              <w:rPr>
                <w:b/>
                <w:bCs/>
                <w:highlight w:val="none"/>
              </w:rPr>
              <w:t>综合能源消费量</w:t>
            </w:r>
            <w:r>
              <w:rPr>
                <w:rStyle w:val="26"/>
                <w:b/>
                <w:bCs/>
                <w:highlight w:val="none"/>
              </w:rPr>
              <w:footnoteReference w:id="0"/>
            </w:r>
          </w:p>
          <w:p w14:paraId="3E30B565">
            <w:pPr>
              <w:pStyle w:val="35"/>
              <w:jc w:val="center"/>
              <w:rPr>
                <w:b/>
                <w:bCs/>
                <w:highlight w:val="none"/>
              </w:rPr>
            </w:pPr>
            <w:r>
              <w:rPr>
                <w:rFonts w:hint="eastAsia"/>
                <w:b/>
                <w:bCs/>
                <w:highlight w:val="none"/>
              </w:rPr>
              <w:t>（万吨标准煤）</w:t>
            </w:r>
          </w:p>
        </w:tc>
        <w:tc>
          <w:tcPr>
            <w:tcW w:w="1400" w:type="pct"/>
            <w:noWrap/>
            <w:vAlign w:val="center"/>
          </w:tcPr>
          <w:p w14:paraId="4C38F0AE">
            <w:pPr>
              <w:pStyle w:val="35"/>
              <w:jc w:val="center"/>
              <w:rPr>
                <w:b/>
                <w:bCs/>
                <w:highlight w:val="none"/>
              </w:rPr>
            </w:pPr>
            <w:r>
              <w:rPr>
                <w:b/>
                <w:bCs/>
                <w:highlight w:val="none"/>
              </w:rPr>
              <w:t>能耗强度</w:t>
            </w:r>
          </w:p>
          <w:p w14:paraId="2057D7C8">
            <w:pPr>
              <w:pStyle w:val="35"/>
              <w:jc w:val="center"/>
              <w:rPr>
                <w:b/>
                <w:bCs/>
                <w:highlight w:val="none"/>
              </w:rPr>
            </w:pPr>
            <w:r>
              <w:rPr>
                <w:b/>
                <w:bCs/>
                <w:highlight w:val="none"/>
              </w:rPr>
              <w:t>（吨标准煤/万元）</w:t>
            </w:r>
          </w:p>
        </w:tc>
      </w:tr>
      <w:tr w14:paraId="62EF4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9" w:type="pct"/>
            <w:noWrap/>
            <w:vAlign w:val="center"/>
          </w:tcPr>
          <w:p w14:paraId="7C7F4C45">
            <w:pPr>
              <w:pStyle w:val="35"/>
              <w:bidi w:val="0"/>
              <w:jc w:val="center"/>
              <w:rPr>
                <w:rFonts w:hint="default" w:eastAsia="宋体"/>
                <w:highlight w:val="none"/>
                <w:lang w:val="en-US" w:eastAsia="zh-CN"/>
              </w:rPr>
            </w:pPr>
            <w:r>
              <w:rPr>
                <w:rFonts w:hint="eastAsia"/>
                <w:highlight w:val="none"/>
                <w:lang w:val="en-US" w:eastAsia="zh-CN"/>
              </w:rPr>
              <w:t>2020年</w:t>
            </w:r>
          </w:p>
        </w:tc>
        <w:tc>
          <w:tcPr>
            <w:tcW w:w="2537" w:type="dxa"/>
            <w:noWrap/>
            <w:vAlign w:val="center"/>
          </w:tcPr>
          <w:p w14:paraId="3B001F05">
            <w:pPr>
              <w:pStyle w:val="35"/>
              <w:bidi w:val="0"/>
              <w:ind w:firstLine="0" w:firstLineChars="0"/>
              <w:jc w:val="center"/>
              <w:rPr>
                <w:rFonts w:hint="default" w:eastAsia="宋体"/>
                <w:highlight w:val="none"/>
                <w:lang w:val="en-US" w:eastAsia="zh-CN"/>
              </w:rPr>
            </w:pPr>
            <w:r>
              <w:rPr>
                <w:rFonts w:hint="eastAsia"/>
                <w:highlight w:val="none"/>
                <w:lang w:val="en-US" w:eastAsia="zh-CN"/>
              </w:rPr>
              <w:t>128</w:t>
            </w:r>
          </w:p>
        </w:tc>
        <w:tc>
          <w:tcPr>
            <w:tcW w:w="2537" w:type="dxa"/>
            <w:shd w:val="clear" w:color="auto" w:fill="auto"/>
            <w:noWrap/>
            <w:vAlign w:val="center"/>
          </w:tcPr>
          <w:p w14:paraId="3A146C8F">
            <w:pPr>
              <w:pStyle w:val="35"/>
              <w:bidi w:val="0"/>
              <w:ind w:firstLine="0" w:firstLineChars="0"/>
              <w:jc w:val="center"/>
              <w:rPr>
                <w:rFonts w:hint="default" w:eastAsia="宋体"/>
                <w:highlight w:val="none"/>
                <w:lang w:val="en-US" w:eastAsia="zh-CN"/>
              </w:rPr>
            </w:pPr>
            <w:r>
              <w:rPr>
                <w:rFonts w:hint="eastAsia"/>
                <w:highlight w:val="none"/>
                <w:lang w:val="en-US" w:eastAsia="zh-CN"/>
              </w:rPr>
              <w:t>1040</w:t>
            </w:r>
          </w:p>
        </w:tc>
        <w:tc>
          <w:tcPr>
            <w:tcW w:w="2537" w:type="dxa"/>
            <w:noWrap/>
            <w:vAlign w:val="center"/>
          </w:tcPr>
          <w:p w14:paraId="08BF2A7B">
            <w:pPr>
              <w:pStyle w:val="35"/>
              <w:bidi w:val="0"/>
              <w:ind w:firstLine="0" w:firstLineChars="0"/>
              <w:jc w:val="center"/>
              <w:rPr>
                <w:rFonts w:hint="default"/>
                <w:highlight w:val="none"/>
                <w:lang w:val="en-US" w:eastAsia="zh-CN"/>
              </w:rPr>
            </w:pPr>
            <w:r>
              <w:rPr>
                <w:rFonts w:hint="eastAsia"/>
                <w:highlight w:val="none"/>
                <w:lang w:val="en-US" w:eastAsia="zh-CN"/>
              </w:rPr>
              <w:t>8.13</w:t>
            </w:r>
          </w:p>
        </w:tc>
      </w:tr>
      <w:tr w14:paraId="64D08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9" w:type="pct"/>
            <w:noWrap/>
            <w:vAlign w:val="center"/>
          </w:tcPr>
          <w:p w14:paraId="2A4B4D55">
            <w:pPr>
              <w:pStyle w:val="35"/>
              <w:bidi w:val="0"/>
              <w:jc w:val="center"/>
              <w:rPr>
                <w:highlight w:val="none"/>
              </w:rPr>
            </w:pPr>
            <w:r>
              <w:rPr>
                <w:highlight w:val="none"/>
              </w:rPr>
              <w:t>2021年</w:t>
            </w:r>
          </w:p>
        </w:tc>
        <w:tc>
          <w:tcPr>
            <w:tcW w:w="2537" w:type="dxa"/>
            <w:noWrap/>
            <w:vAlign w:val="center"/>
          </w:tcPr>
          <w:p w14:paraId="00317BB5">
            <w:pPr>
              <w:pStyle w:val="35"/>
              <w:bidi w:val="0"/>
              <w:ind w:firstLine="0" w:firstLineChars="0"/>
              <w:jc w:val="center"/>
              <w:rPr>
                <w:highlight w:val="none"/>
              </w:rPr>
            </w:pPr>
            <w:r>
              <w:rPr>
                <w:rFonts w:hint="eastAsia"/>
                <w:highlight w:val="none"/>
              </w:rPr>
              <w:t>250.03</w:t>
            </w:r>
          </w:p>
        </w:tc>
        <w:tc>
          <w:tcPr>
            <w:tcW w:w="2537" w:type="dxa"/>
            <w:shd w:val="clear" w:color="auto" w:fill="auto"/>
            <w:noWrap/>
            <w:vAlign w:val="center"/>
          </w:tcPr>
          <w:p w14:paraId="4C1521D5">
            <w:pPr>
              <w:pStyle w:val="35"/>
              <w:bidi w:val="0"/>
              <w:ind w:firstLine="0" w:firstLineChars="0"/>
              <w:jc w:val="center"/>
              <w:rPr>
                <w:rFonts w:hint="default" w:ascii="Times New Roman" w:hAnsi="Times New Roman" w:eastAsia="宋体" w:cs="宋体"/>
                <w:highlight w:val="none"/>
                <w:lang w:val="en-US" w:eastAsia="zh-CN"/>
              </w:rPr>
            </w:pPr>
            <w:r>
              <w:rPr>
                <w:rFonts w:hint="eastAsia"/>
                <w:highlight w:val="none"/>
                <w:lang w:val="en-US" w:eastAsia="zh-CN"/>
              </w:rPr>
              <w:t>1076</w:t>
            </w:r>
          </w:p>
        </w:tc>
        <w:tc>
          <w:tcPr>
            <w:tcW w:w="2537" w:type="dxa"/>
            <w:noWrap/>
            <w:vAlign w:val="center"/>
          </w:tcPr>
          <w:p w14:paraId="752F59CC">
            <w:pPr>
              <w:pStyle w:val="35"/>
              <w:bidi w:val="0"/>
              <w:ind w:firstLine="0" w:firstLineChars="0"/>
              <w:jc w:val="center"/>
              <w:rPr>
                <w:rFonts w:hint="default" w:ascii="Times New Roman" w:hAnsi="Times New Roman" w:eastAsia="宋体" w:cs="宋体"/>
                <w:highlight w:val="none"/>
                <w:lang w:val="en-US" w:eastAsia="zh-CN"/>
              </w:rPr>
            </w:pPr>
            <w:r>
              <w:rPr>
                <w:rFonts w:hint="eastAsia"/>
                <w:highlight w:val="none"/>
                <w:lang w:val="en-US" w:eastAsia="zh-CN"/>
              </w:rPr>
              <w:t>4.30</w:t>
            </w:r>
          </w:p>
        </w:tc>
      </w:tr>
      <w:tr w14:paraId="5C2A8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9" w:type="pct"/>
            <w:noWrap/>
            <w:vAlign w:val="center"/>
          </w:tcPr>
          <w:p w14:paraId="1575DF94">
            <w:pPr>
              <w:pStyle w:val="35"/>
              <w:bidi w:val="0"/>
              <w:jc w:val="center"/>
              <w:rPr>
                <w:highlight w:val="none"/>
              </w:rPr>
            </w:pPr>
            <w:r>
              <w:rPr>
                <w:highlight w:val="none"/>
              </w:rPr>
              <w:t>2022年</w:t>
            </w:r>
          </w:p>
        </w:tc>
        <w:tc>
          <w:tcPr>
            <w:tcW w:w="2537" w:type="dxa"/>
            <w:noWrap/>
            <w:vAlign w:val="center"/>
          </w:tcPr>
          <w:p w14:paraId="1A8285C8">
            <w:pPr>
              <w:pStyle w:val="35"/>
              <w:bidi w:val="0"/>
              <w:ind w:firstLine="0" w:firstLineChars="0"/>
              <w:jc w:val="center"/>
              <w:rPr>
                <w:highlight w:val="none"/>
              </w:rPr>
            </w:pPr>
            <w:r>
              <w:rPr>
                <w:rFonts w:hint="eastAsia"/>
                <w:highlight w:val="none"/>
              </w:rPr>
              <w:t>352.04</w:t>
            </w:r>
          </w:p>
        </w:tc>
        <w:tc>
          <w:tcPr>
            <w:tcW w:w="2537" w:type="dxa"/>
            <w:shd w:val="clear" w:color="auto" w:fill="auto"/>
            <w:noWrap/>
            <w:vAlign w:val="center"/>
          </w:tcPr>
          <w:p w14:paraId="1EB28B50">
            <w:pPr>
              <w:pStyle w:val="35"/>
              <w:bidi w:val="0"/>
              <w:ind w:firstLine="0" w:firstLineChars="0"/>
              <w:jc w:val="center"/>
              <w:rPr>
                <w:rFonts w:hint="default" w:ascii="Times New Roman" w:hAnsi="Times New Roman" w:eastAsia="宋体" w:cs="宋体"/>
                <w:highlight w:val="none"/>
                <w:lang w:val="en-US" w:eastAsia="zh-CN"/>
              </w:rPr>
            </w:pPr>
            <w:r>
              <w:rPr>
                <w:rFonts w:hint="eastAsia"/>
                <w:highlight w:val="none"/>
                <w:lang w:val="en-US" w:eastAsia="zh-CN"/>
              </w:rPr>
              <w:t>1089</w:t>
            </w:r>
          </w:p>
        </w:tc>
        <w:tc>
          <w:tcPr>
            <w:tcW w:w="2537" w:type="dxa"/>
            <w:noWrap/>
            <w:vAlign w:val="center"/>
          </w:tcPr>
          <w:p w14:paraId="4FEFD302">
            <w:pPr>
              <w:pStyle w:val="35"/>
              <w:bidi w:val="0"/>
              <w:ind w:firstLine="0" w:firstLineChars="0"/>
              <w:jc w:val="center"/>
              <w:rPr>
                <w:rFonts w:hint="default" w:ascii="Times New Roman" w:hAnsi="Times New Roman" w:eastAsia="宋体" w:cs="宋体"/>
                <w:highlight w:val="none"/>
                <w:lang w:val="en-US" w:eastAsia="zh-CN"/>
              </w:rPr>
            </w:pPr>
            <w:r>
              <w:rPr>
                <w:rFonts w:hint="eastAsia"/>
                <w:highlight w:val="none"/>
                <w:lang w:val="en-US" w:eastAsia="zh-CN"/>
              </w:rPr>
              <w:t>3.09</w:t>
            </w:r>
          </w:p>
        </w:tc>
      </w:tr>
      <w:tr w14:paraId="2B07A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9" w:type="pct"/>
            <w:noWrap/>
            <w:vAlign w:val="center"/>
          </w:tcPr>
          <w:p w14:paraId="7126A34A">
            <w:pPr>
              <w:pStyle w:val="35"/>
              <w:bidi w:val="0"/>
              <w:jc w:val="center"/>
              <w:rPr>
                <w:rFonts w:hint="default" w:eastAsia="宋体"/>
                <w:highlight w:val="none"/>
                <w:lang w:val="en-US" w:eastAsia="zh-CN"/>
              </w:rPr>
            </w:pPr>
            <w:r>
              <w:rPr>
                <w:rFonts w:hint="eastAsia"/>
                <w:highlight w:val="none"/>
                <w:lang w:val="en-US" w:eastAsia="zh-CN"/>
              </w:rPr>
              <w:t>2023年</w:t>
            </w:r>
          </w:p>
        </w:tc>
        <w:tc>
          <w:tcPr>
            <w:tcW w:w="2537" w:type="dxa"/>
            <w:noWrap/>
            <w:vAlign w:val="center"/>
          </w:tcPr>
          <w:p w14:paraId="1C3BE955">
            <w:pPr>
              <w:pStyle w:val="35"/>
              <w:bidi w:val="0"/>
              <w:ind w:firstLine="0" w:firstLineChars="0"/>
              <w:jc w:val="center"/>
              <w:rPr>
                <w:rFonts w:hint="default" w:eastAsia="宋体"/>
                <w:highlight w:val="none"/>
                <w:lang w:val="en-US" w:eastAsia="zh-CN"/>
              </w:rPr>
            </w:pPr>
            <w:r>
              <w:rPr>
                <w:rFonts w:hint="eastAsia"/>
                <w:highlight w:val="none"/>
                <w:lang w:val="en-US" w:eastAsia="zh-CN"/>
              </w:rPr>
              <w:t>300.60</w:t>
            </w:r>
          </w:p>
        </w:tc>
        <w:tc>
          <w:tcPr>
            <w:tcW w:w="2537" w:type="dxa"/>
            <w:shd w:val="clear" w:color="auto" w:fill="auto"/>
            <w:noWrap/>
            <w:vAlign w:val="center"/>
          </w:tcPr>
          <w:p w14:paraId="56E3A32B">
            <w:pPr>
              <w:pStyle w:val="35"/>
              <w:bidi w:val="0"/>
              <w:ind w:firstLine="0" w:firstLineChars="0"/>
              <w:jc w:val="center"/>
              <w:rPr>
                <w:rFonts w:hint="default" w:ascii="Times New Roman" w:hAnsi="Times New Roman" w:eastAsia="宋体" w:cs="宋体"/>
                <w:highlight w:val="none"/>
                <w:lang w:val="en-US" w:eastAsia="zh-CN"/>
              </w:rPr>
            </w:pPr>
            <w:r>
              <w:rPr>
                <w:rFonts w:hint="eastAsia"/>
                <w:highlight w:val="none"/>
                <w:lang w:val="en-US" w:eastAsia="zh-CN"/>
              </w:rPr>
              <w:t>1092</w:t>
            </w:r>
          </w:p>
        </w:tc>
        <w:tc>
          <w:tcPr>
            <w:tcW w:w="2537" w:type="dxa"/>
            <w:noWrap/>
            <w:vAlign w:val="center"/>
          </w:tcPr>
          <w:p w14:paraId="1E9BA86A">
            <w:pPr>
              <w:pStyle w:val="35"/>
              <w:bidi w:val="0"/>
              <w:ind w:firstLine="0" w:firstLineChars="0"/>
              <w:jc w:val="center"/>
              <w:rPr>
                <w:rFonts w:hint="default" w:ascii="Times New Roman" w:hAnsi="Times New Roman" w:eastAsia="宋体" w:cs="宋体"/>
                <w:highlight w:val="none"/>
                <w:lang w:val="en-US" w:eastAsia="zh-CN"/>
              </w:rPr>
            </w:pPr>
            <w:r>
              <w:rPr>
                <w:rFonts w:hint="eastAsia"/>
                <w:highlight w:val="none"/>
                <w:lang w:val="en-US" w:eastAsia="zh-CN"/>
              </w:rPr>
              <w:t>3.63</w:t>
            </w:r>
          </w:p>
        </w:tc>
      </w:tr>
      <w:tr w14:paraId="792B6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9" w:type="pct"/>
            <w:noWrap/>
            <w:vAlign w:val="center"/>
          </w:tcPr>
          <w:p w14:paraId="506450F8">
            <w:pPr>
              <w:pStyle w:val="35"/>
              <w:bidi w:val="0"/>
              <w:jc w:val="center"/>
              <w:rPr>
                <w:rFonts w:hint="default"/>
                <w:highlight w:val="none"/>
                <w:lang w:val="en-US" w:eastAsia="zh-CN"/>
              </w:rPr>
            </w:pPr>
            <w:r>
              <w:rPr>
                <w:rFonts w:hint="eastAsia"/>
                <w:highlight w:val="none"/>
                <w:lang w:val="en-US" w:eastAsia="zh-CN"/>
              </w:rPr>
              <w:t>2024年</w:t>
            </w:r>
          </w:p>
        </w:tc>
        <w:tc>
          <w:tcPr>
            <w:tcW w:w="2537" w:type="dxa"/>
            <w:noWrap/>
            <w:vAlign w:val="center"/>
          </w:tcPr>
          <w:p w14:paraId="0C4FA30B">
            <w:pPr>
              <w:pStyle w:val="35"/>
              <w:bidi w:val="0"/>
              <w:ind w:firstLine="0" w:firstLineChars="0"/>
              <w:jc w:val="center"/>
              <w:rPr>
                <w:rFonts w:hint="default"/>
                <w:highlight w:val="none"/>
                <w:lang w:val="en-US" w:eastAsia="zh-CN"/>
              </w:rPr>
            </w:pPr>
            <w:r>
              <w:rPr>
                <w:rFonts w:hint="eastAsia"/>
                <w:highlight w:val="none"/>
                <w:lang w:val="en-US" w:eastAsia="zh-CN"/>
              </w:rPr>
              <w:t>254.22</w:t>
            </w:r>
          </w:p>
        </w:tc>
        <w:tc>
          <w:tcPr>
            <w:tcW w:w="2537" w:type="dxa"/>
            <w:shd w:val="clear" w:color="auto" w:fill="auto"/>
            <w:noWrap/>
            <w:vAlign w:val="center"/>
          </w:tcPr>
          <w:p w14:paraId="15B2CED7">
            <w:pPr>
              <w:pStyle w:val="35"/>
              <w:bidi w:val="0"/>
              <w:ind w:firstLine="0" w:firstLineChars="0"/>
              <w:jc w:val="center"/>
              <w:rPr>
                <w:rFonts w:hint="default" w:eastAsia="宋体"/>
                <w:highlight w:val="none"/>
                <w:lang w:val="en-US" w:eastAsia="zh-CN"/>
              </w:rPr>
            </w:pPr>
            <w:r>
              <w:rPr>
                <w:rFonts w:hint="eastAsia"/>
                <w:highlight w:val="none"/>
                <w:lang w:val="en-US" w:eastAsia="zh-CN"/>
              </w:rPr>
              <w:t>1287</w:t>
            </w:r>
          </w:p>
        </w:tc>
        <w:tc>
          <w:tcPr>
            <w:tcW w:w="2537" w:type="dxa"/>
            <w:noWrap/>
            <w:vAlign w:val="center"/>
          </w:tcPr>
          <w:p w14:paraId="36D94DF6">
            <w:pPr>
              <w:pStyle w:val="35"/>
              <w:bidi w:val="0"/>
              <w:ind w:firstLine="0" w:firstLineChars="0"/>
              <w:jc w:val="center"/>
              <w:rPr>
                <w:rFonts w:hint="default" w:eastAsia="宋体"/>
                <w:highlight w:val="none"/>
                <w:lang w:val="en-US" w:eastAsia="zh-CN"/>
              </w:rPr>
            </w:pPr>
            <w:r>
              <w:rPr>
                <w:rFonts w:hint="eastAsia"/>
                <w:highlight w:val="none"/>
                <w:lang w:val="en-US" w:eastAsia="zh-CN"/>
              </w:rPr>
              <w:t>5.06</w:t>
            </w:r>
          </w:p>
        </w:tc>
      </w:tr>
    </w:tbl>
    <w:p w14:paraId="1CB4D0AA">
      <w:pPr>
        <w:ind w:left="0" w:leftChars="0" w:firstLine="0" w:firstLineChars="0"/>
        <w:jc w:val="center"/>
        <w:rPr>
          <w:highlight w:val="none"/>
        </w:rPr>
      </w:pPr>
      <w:r>
        <w:rPr>
          <w:highlight w:val="none"/>
        </w:rPr>
        <w:drawing>
          <wp:inline distT="0" distB="0" distL="114300" distR="114300">
            <wp:extent cx="4838700" cy="28384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4838700" cy="2838450"/>
                    </a:xfrm>
                    <a:prstGeom prst="rect">
                      <a:avLst/>
                    </a:prstGeom>
                    <a:noFill/>
                    <a:ln>
                      <a:noFill/>
                    </a:ln>
                  </pic:spPr>
                </pic:pic>
              </a:graphicData>
            </a:graphic>
          </wp:inline>
        </w:drawing>
      </w:r>
    </w:p>
    <w:p w14:paraId="46924B03">
      <w:pPr>
        <w:pStyle w:val="33"/>
        <w:bidi w:val="0"/>
        <w:rPr>
          <w:rFonts w:hint="eastAsia" w:eastAsia="黑体"/>
          <w:highlight w:val="none"/>
          <w:lang w:val="en-US" w:eastAsia="zh-CN"/>
        </w:rPr>
      </w:pPr>
      <w:r>
        <w:rPr>
          <w:rFonts w:hint="eastAsia"/>
          <w:highlight w:val="none"/>
          <w:lang w:val="en-US" w:eastAsia="zh-CN"/>
        </w:rPr>
        <w:t>图</w:t>
      </w:r>
      <w:r>
        <w:rPr>
          <w:highlight w:val="none"/>
        </w:rPr>
        <w:t>1-</w:t>
      </w:r>
      <w:r>
        <w:rPr>
          <w:rFonts w:hint="eastAsia"/>
          <w:highlight w:val="none"/>
          <w:lang w:val="en-US" w:eastAsia="zh-CN"/>
        </w:rPr>
        <w:t>3石河子经开区综合能源消费量和能耗强度变化情况</w:t>
      </w:r>
    </w:p>
    <w:p w14:paraId="430AF773">
      <w:pPr>
        <w:ind w:firstLine="640"/>
        <w:rPr>
          <w:rFonts w:hint="eastAsia" w:ascii="Times New Roman" w:hAnsi="Times New Roman"/>
          <w:highlight w:val="none"/>
          <w:lang w:val="en-US" w:eastAsia="zh-CN"/>
        </w:rPr>
      </w:pPr>
      <w:r>
        <w:rPr>
          <w:rFonts w:hint="eastAsia" w:ascii="Times New Roman" w:hAnsi="Times New Roman"/>
          <w:highlight w:val="none"/>
          <w:lang w:val="en-US" w:eastAsia="zh-CN"/>
        </w:rPr>
        <w:t>在能源消费结构方面，石河子经开区目前主要消费种类为煤、焦炭及电力、热力等。园区内能源加工与转换企业主要涉及天能化工有限公司、天伟化工有限公司</w:t>
      </w:r>
      <w:r>
        <w:rPr>
          <w:rFonts w:hint="eastAsia"/>
          <w:highlight w:val="none"/>
          <w:lang w:val="en-US" w:eastAsia="zh-CN"/>
        </w:rPr>
        <w:t>、</w:t>
      </w:r>
      <w:r>
        <w:rPr>
          <w:rFonts w:hint="eastAsia"/>
          <w:highlight w:val="none"/>
        </w:rPr>
        <w:t>新疆西部合盛硅业有限公司</w:t>
      </w:r>
      <w:r>
        <w:rPr>
          <w:rFonts w:hint="eastAsia"/>
          <w:highlight w:val="none"/>
          <w:lang w:val="en-US" w:eastAsia="zh-CN"/>
        </w:rPr>
        <w:t>以及</w:t>
      </w:r>
      <w:r>
        <w:rPr>
          <w:rFonts w:hint="eastAsia" w:ascii="Times New Roman" w:hAnsi="Times New Roman"/>
          <w:highlight w:val="none"/>
          <w:lang w:val="en-US" w:eastAsia="zh-CN"/>
        </w:rPr>
        <w:t>石河子市天瑞能源有限公司，主要产出煤制品、电力及热力，202</w:t>
      </w:r>
      <w:r>
        <w:rPr>
          <w:rFonts w:hint="eastAsia"/>
          <w:highlight w:val="none"/>
          <w:lang w:val="en-US" w:eastAsia="zh-CN"/>
        </w:rPr>
        <w:t>4</w:t>
      </w:r>
      <w:r>
        <w:rPr>
          <w:rFonts w:hint="eastAsia" w:ascii="Times New Roman" w:hAnsi="Times New Roman"/>
          <w:highlight w:val="none"/>
          <w:lang w:val="en-US" w:eastAsia="zh-CN"/>
        </w:rPr>
        <w:t>年能源加工转换投入一般烟煤</w:t>
      </w:r>
      <w:r>
        <w:rPr>
          <w:rFonts w:hint="eastAsia"/>
          <w:highlight w:val="none"/>
          <w:lang w:val="en-US" w:eastAsia="zh-CN"/>
        </w:rPr>
        <w:t>量</w:t>
      </w:r>
      <w:r>
        <w:rPr>
          <w:rFonts w:hint="eastAsia" w:ascii="Times New Roman" w:hAnsi="Times New Roman"/>
          <w:highlight w:val="none"/>
          <w:lang w:val="en-US" w:eastAsia="zh-CN"/>
        </w:rPr>
        <w:t>占规模以上工业企业一般烟煤消费量的96%</w:t>
      </w:r>
      <w:r>
        <w:rPr>
          <w:rFonts w:hint="eastAsia"/>
          <w:highlight w:val="none"/>
          <w:lang w:val="en-US" w:eastAsia="zh-CN"/>
        </w:rPr>
        <w:t>以上</w:t>
      </w:r>
      <w:r>
        <w:rPr>
          <w:rFonts w:hint="eastAsia" w:ascii="Times New Roman" w:hAnsi="Times New Roman"/>
          <w:highlight w:val="none"/>
          <w:lang w:val="en-US" w:eastAsia="zh-CN"/>
        </w:rPr>
        <w:t>。</w:t>
      </w:r>
    </w:p>
    <w:p w14:paraId="5F7DE5AA">
      <w:pPr>
        <w:ind w:firstLine="640"/>
        <w:rPr>
          <w:rFonts w:hint="default" w:ascii="Times New Roman" w:hAnsi="Times New Roman"/>
          <w:highlight w:val="none"/>
          <w:lang w:val="en-US" w:eastAsia="zh-CN"/>
        </w:rPr>
      </w:pPr>
      <w:r>
        <w:rPr>
          <w:rFonts w:hint="eastAsia" w:ascii="Times New Roman" w:hAnsi="Times New Roman"/>
          <w:highlight w:val="none"/>
          <w:lang w:val="en-US" w:eastAsia="zh-CN"/>
        </w:rPr>
        <w:t>从园区规模以上工业企业终端能源消费</w:t>
      </w:r>
      <w:r>
        <w:rPr>
          <w:rStyle w:val="26"/>
          <w:rFonts w:hint="eastAsia" w:ascii="Times New Roman" w:hAnsi="Times New Roman"/>
          <w:highlight w:val="none"/>
          <w:lang w:val="en-US" w:eastAsia="zh-CN"/>
        </w:rPr>
        <w:footnoteReference w:id="1"/>
      </w:r>
      <w:r>
        <w:rPr>
          <w:rFonts w:hint="eastAsia" w:ascii="Times New Roman" w:hAnsi="Times New Roman"/>
          <w:highlight w:val="none"/>
          <w:lang w:val="en-US" w:eastAsia="zh-CN"/>
        </w:rPr>
        <w:t>结构来看，园区终端用能企业能源消费种类以电力为主，202</w:t>
      </w:r>
      <w:r>
        <w:rPr>
          <w:rFonts w:hint="eastAsia"/>
          <w:highlight w:val="none"/>
          <w:lang w:val="en-US" w:eastAsia="zh-CN"/>
        </w:rPr>
        <w:t>4</w:t>
      </w:r>
      <w:r>
        <w:rPr>
          <w:rFonts w:hint="eastAsia" w:ascii="Times New Roman" w:hAnsi="Times New Roman"/>
          <w:highlight w:val="none"/>
          <w:lang w:val="en-US" w:eastAsia="zh-CN"/>
        </w:rPr>
        <w:t>年度，电力占规模以上工业企业终端能源消费的比例</w:t>
      </w:r>
      <w:r>
        <w:rPr>
          <w:rFonts w:hint="eastAsia"/>
          <w:highlight w:val="none"/>
          <w:lang w:val="en-US" w:eastAsia="zh-CN"/>
        </w:rPr>
        <w:t>达到71</w:t>
      </w:r>
      <w:r>
        <w:rPr>
          <w:rFonts w:hint="eastAsia" w:ascii="Times New Roman" w:hAnsi="Times New Roman"/>
          <w:highlight w:val="none"/>
          <w:lang w:val="en-US" w:eastAsia="zh-CN"/>
        </w:rPr>
        <w:t>%。</w:t>
      </w:r>
    </w:p>
    <w:p w14:paraId="481CDE0A">
      <w:pPr>
        <w:ind w:left="0" w:leftChars="0" w:firstLine="0" w:firstLineChars="0"/>
        <w:jc w:val="center"/>
        <w:rPr>
          <w:highlight w:val="none"/>
        </w:rPr>
      </w:pPr>
    </w:p>
    <w:p w14:paraId="24C6998A">
      <w:pPr>
        <w:ind w:left="0" w:leftChars="0" w:firstLine="0" w:firstLineChars="0"/>
        <w:jc w:val="center"/>
        <w:rPr>
          <w:rFonts w:hint="eastAsia"/>
          <w:highlight w:val="none"/>
        </w:rPr>
      </w:pPr>
      <w:r>
        <w:rPr>
          <w:highlight w:val="none"/>
        </w:rPr>
        <w:drawing>
          <wp:inline distT="0" distB="0" distL="114300" distR="114300">
            <wp:extent cx="3147695" cy="2705100"/>
            <wp:effectExtent l="0" t="0" r="0"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3"/>
                    <a:srcRect l="20624" r="19940"/>
                    <a:stretch>
                      <a:fillRect/>
                    </a:stretch>
                  </pic:blipFill>
                  <pic:spPr>
                    <a:xfrm>
                      <a:off x="0" y="0"/>
                      <a:ext cx="3147695" cy="2705100"/>
                    </a:xfrm>
                    <a:prstGeom prst="rect">
                      <a:avLst/>
                    </a:prstGeom>
                    <a:noFill/>
                    <a:ln>
                      <a:noFill/>
                    </a:ln>
                  </pic:spPr>
                </pic:pic>
              </a:graphicData>
            </a:graphic>
          </wp:inline>
        </w:drawing>
      </w:r>
    </w:p>
    <w:p w14:paraId="714DDC99">
      <w:pPr>
        <w:pStyle w:val="33"/>
        <w:bidi w:val="0"/>
        <w:rPr>
          <w:rFonts w:hint="default" w:eastAsia="黑体"/>
          <w:highlight w:val="none"/>
          <w:lang w:val="en-US" w:eastAsia="zh-CN"/>
        </w:rPr>
      </w:pPr>
      <w:r>
        <w:rPr>
          <w:rFonts w:hint="eastAsia"/>
          <w:highlight w:val="none"/>
          <w:lang w:val="en-US" w:eastAsia="zh-CN"/>
        </w:rPr>
        <w:t>图</w:t>
      </w:r>
      <w:r>
        <w:rPr>
          <w:highlight w:val="none"/>
        </w:rPr>
        <w:t>1-</w:t>
      </w:r>
      <w:r>
        <w:rPr>
          <w:rFonts w:hint="eastAsia"/>
          <w:highlight w:val="none"/>
          <w:lang w:val="en-US" w:eastAsia="zh-CN"/>
        </w:rPr>
        <w:t>4石河子经开区2024年规上工业终端能源消费结构</w:t>
      </w:r>
    </w:p>
    <w:p w14:paraId="47620457">
      <w:pPr>
        <w:pStyle w:val="4"/>
        <w:rPr>
          <w:rFonts w:hint="default" w:eastAsia="仿宋_GB2312"/>
          <w:highlight w:val="none"/>
          <w:lang w:val="en-US" w:eastAsia="zh-CN"/>
        </w:rPr>
      </w:pPr>
      <w:r>
        <w:rPr>
          <w:rFonts w:hint="eastAsia"/>
          <w:highlight w:val="none"/>
          <w:lang w:val="en-US" w:eastAsia="zh-CN"/>
        </w:rPr>
        <w:t>2</w:t>
      </w:r>
      <w:r>
        <w:rPr>
          <w:rFonts w:hint="eastAsia"/>
          <w:highlight w:val="none"/>
        </w:rPr>
        <w:t xml:space="preserve">. </w:t>
      </w:r>
      <w:r>
        <w:rPr>
          <w:rFonts w:hint="eastAsia"/>
          <w:highlight w:val="none"/>
          <w:lang w:val="en-US" w:eastAsia="zh-CN"/>
        </w:rPr>
        <w:t>碳排放情况</w:t>
      </w:r>
    </w:p>
    <w:p w14:paraId="5B88385D">
      <w:pPr>
        <w:ind w:firstLine="640"/>
        <w:rPr>
          <w:rFonts w:hint="eastAsia"/>
          <w:highlight w:val="none"/>
          <w:lang w:val="en-US" w:eastAsia="zh-CN"/>
        </w:rPr>
      </w:pPr>
      <w:r>
        <w:rPr>
          <w:rFonts w:hint="eastAsia"/>
          <w:highlight w:val="none"/>
          <w:lang w:val="en-US" w:eastAsia="zh-CN"/>
        </w:rPr>
        <w:t>2020年至2024年，石河子经开区二氧化碳排放总量从2987万吨上升至3809万吨，年均增长率为6.26%。同样受到产能扩增影响，在2021年以及2024年二氧化碳排放总量均有明显增长。2020年至2024年，石河子经开区碳排放强度从23.34吨二氧化碳/万元下降至14.98吨二氧化碳/万元，年均下降率为10.49%。同样受到市场价格因素导致的工业增加值变化影响，2022年园区碳排放强度呈现明显下降趋势</w:t>
      </w:r>
      <w:r>
        <w:rPr>
          <w:rFonts w:hint="eastAsia"/>
          <w:highlight w:val="none"/>
          <w:lang w:eastAsia="zh-CN"/>
        </w:rPr>
        <w:t>，</w:t>
      </w:r>
      <w:r>
        <w:rPr>
          <w:rFonts w:hint="eastAsia"/>
          <w:highlight w:val="none"/>
          <w:lang w:val="en-US" w:eastAsia="zh-CN"/>
        </w:rPr>
        <w:t>2024年上升到14.98吨二氧化碳/万元。</w:t>
      </w:r>
    </w:p>
    <w:p w14:paraId="4F7953B3">
      <w:pPr>
        <w:ind w:firstLine="640"/>
        <w:rPr>
          <w:rFonts w:hint="eastAsia"/>
          <w:highlight w:val="none"/>
          <w:lang w:val="en-US" w:eastAsia="zh-CN"/>
        </w:rPr>
      </w:pPr>
    </w:p>
    <w:p w14:paraId="42B8B772">
      <w:pPr>
        <w:ind w:firstLine="640"/>
        <w:rPr>
          <w:rFonts w:hint="eastAsia"/>
          <w:highlight w:val="none"/>
          <w:lang w:val="en-US" w:eastAsia="zh-CN"/>
        </w:rPr>
      </w:pPr>
    </w:p>
    <w:p w14:paraId="104F081E">
      <w:pPr>
        <w:ind w:firstLine="640"/>
        <w:rPr>
          <w:rFonts w:hint="default"/>
          <w:highlight w:val="none"/>
          <w:lang w:val="en-US" w:eastAsia="zh-CN"/>
        </w:rPr>
      </w:pPr>
    </w:p>
    <w:p w14:paraId="10BBF953">
      <w:pPr>
        <w:pStyle w:val="33"/>
        <w:bidi w:val="0"/>
        <w:rPr>
          <w:rFonts w:hint="default" w:eastAsia="黑体"/>
          <w:highlight w:val="none"/>
          <w:lang w:val="en-US" w:eastAsia="zh-CN"/>
        </w:rPr>
      </w:pPr>
      <w:r>
        <w:rPr>
          <w:highlight w:val="none"/>
        </w:rPr>
        <w:t>表1-</w:t>
      </w:r>
      <w:r>
        <w:rPr>
          <w:rFonts w:hint="eastAsia"/>
          <w:highlight w:val="none"/>
          <w:lang w:val="en-US" w:eastAsia="zh-CN"/>
        </w:rPr>
        <w:t>2石河子经开区二氧化碳排放总量和碳排放强度</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9"/>
        <w:gridCol w:w="2537"/>
        <w:gridCol w:w="2537"/>
        <w:gridCol w:w="2537"/>
      </w:tblGrid>
      <w:tr w14:paraId="6F1C4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799" w:type="pct"/>
            <w:noWrap/>
            <w:vAlign w:val="center"/>
          </w:tcPr>
          <w:p w14:paraId="46D4B6E1">
            <w:pPr>
              <w:pStyle w:val="35"/>
              <w:jc w:val="center"/>
              <w:rPr>
                <w:b/>
                <w:bCs/>
                <w:highlight w:val="none"/>
              </w:rPr>
            </w:pPr>
            <w:r>
              <w:rPr>
                <w:b/>
                <w:bCs/>
                <w:highlight w:val="none"/>
              </w:rPr>
              <w:t>年份</w:t>
            </w:r>
          </w:p>
        </w:tc>
        <w:tc>
          <w:tcPr>
            <w:tcW w:w="1400" w:type="pct"/>
            <w:noWrap/>
            <w:vAlign w:val="center"/>
          </w:tcPr>
          <w:p w14:paraId="784BCF66">
            <w:pPr>
              <w:pStyle w:val="35"/>
              <w:jc w:val="center"/>
              <w:rPr>
                <w:b/>
                <w:bCs/>
                <w:highlight w:val="none"/>
              </w:rPr>
            </w:pPr>
            <w:r>
              <w:rPr>
                <w:rFonts w:hint="eastAsia"/>
                <w:b/>
                <w:bCs/>
                <w:highlight w:val="none"/>
                <w:lang w:val="en-US" w:eastAsia="zh-CN"/>
              </w:rPr>
              <w:t>规模以上工业增加值</w:t>
            </w:r>
            <w:r>
              <w:rPr>
                <w:rFonts w:hint="eastAsia"/>
                <w:b/>
                <w:bCs/>
                <w:highlight w:val="none"/>
              </w:rPr>
              <w:t>（亿元）</w:t>
            </w:r>
          </w:p>
        </w:tc>
        <w:tc>
          <w:tcPr>
            <w:tcW w:w="1400" w:type="pct"/>
            <w:noWrap/>
            <w:vAlign w:val="center"/>
          </w:tcPr>
          <w:p w14:paraId="731F147E">
            <w:pPr>
              <w:pStyle w:val="35"/>
              <w:jc w:val="center"/>
              <w:rPr>
                <w:b/>
                <w:bCs/>
                <w:highlight w:val="none"/>
              </w:rPr>
            </w:pPr>
            <w:r>
              <w:rPr>
                <w:rFonts w:hint="eastAsia"/>
                <w:b/>
                <w:bCs/>
                <w:highlight w:val="none"/>
                <w:lang w:val="en-US" w:eastAsia="zh-CN"/>
              </w:rPr>
              <w:t>二氧化碳排放总</w:t>
            </w:r>
            <w:r>
              <w:rPr>
                <w:b/>
                <w:bCs/>
                <w:highlight w:val="none"/>
              </w:rPr>
              <w:t>量</w:t>
            </w:r>
            <w:r>
              <w:rPr>
                <w:rStyle w:val="26"/>
                <w:b/>
                <w:bCs/>
                <w:highlight w:val="none"/>
              </w:rPr>
              <w:footnoteReference w:id="2"/>
            </w:r>
          </w:p>
          <w:p w14:paraId="15388F82">
            <w:pPr>
              <w:pStyle w:val="35"/>
              <w:jc w:val="center"/>
              <w:rPr>
                <w:b/>
                <w:bCs/>
                <w:highlight w:val="none"/>
              </w:rPr>
            </w:pPr>
            <w:r>
              <w:rPr>
                <w:rFonts w:hint="eastAsia"/>
                <w:b/>
                <w:bCs/>
                <w:highlight w:val="none"/>
              </w:rPr>
              <w:t>（万吨）</w:t>
            </w:r>
          </w:p>
        </w:tc>
        <w:tc>
          <w:tcPr>
            <w:tcW w:w="1400" w:type="pct"/>
            <w:noWrap/>
            <w:vAlign w:val="center"/>
          </w:tcPr>
          <w:p w14:paraId="73338ACD">
            <w:pPr>
              <w:pStyle w:val="35"/>
              <w:jc w:val="center"/>
              <w:rPr>
                <w:b/>
                <w:bCs/>
                <w:highlight w:val="none"/>
              </w:rPr>
            </w:pPr>
            <w:r>
              <w:rPr>
                <w:rFonts w:hint="eastAsia"/>
                <w:b/>
                <w:bCs/>
                <w:highlight w:val="none"/>
                <w:lang w:val="en-US" w:eastAsia="zh-CN"/>
              </w:rPr>
              <w:t>碳排放</w:t>
            </w:r>
            <w:r>
              <w:rPr>
                <w:b/>
                <w:bCs/>
                <w:highlight w:val="none"/>
              </w:rPr>
              <w:t>强度</w:t>
            </w:r>
          </w:p>
          <w:p w14:paraId="6CE7EE1A">
            <w:pPr>
              <w:pStyle w:val="35"/>
              <w:jc w:val="center"/>
              <w:rPr>
                <w:b/>
                <w:bCs/>
                <w:highlight w:val="none"/>
              </w:rPr>
            </w:pPr>
            <w:r>
              <w:rPr>
                <w:b/>
                <w:bCs/>
                <w:highlight w:val="none"/>
              </w:rPr>
              <w:t>（吨</w:t>
            </w:r>
            <w:r>
              <w:rPr>
                <w:rFonts w:hint="eastAsia"/>
                <w:b/>
                <w:bCs/>
                <w:highlight w:val="none"/>
                <w:lang w:val="en-US" w:eastAsia="zh-CN"/>
              </w:rPr>
              <w:t>二氧化碳</w:t>
            </w:r>
            <w:r>
              <w:rPr>
                <w:b/>
                <w:bCs/>
                <w:highlight w:val="none"/>
              </w:rPr>
              <w:t>/万元）</w:t>
            </w:r>
          </w:p>
        </w:tc>
      </w:tr>
      <w:tr w14:paraId="1EA16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9" w:type="pct"/>
            <w:noWrap/>
            <w:vAlign w:val="center"/>
          </w:tcPr>
          <w:p w14:paraId="468F1F32">
            <w:pPr>
              <w:pStyle w:val="35"/>
              <w:bidi w:val="0"/>
              <w:jc w:val="center"/>
              <w:rPr>
                <w:highlight w:val="none"/>
              </w:rPr>
            </w:pPr>
            <w:r>
              <w:rPr>
                <w:highlight w:val="none"/>
              </w:rPr>
              <w:t>202</w:t>
            </w:r>
            <w:r>
              <w:rPr>
                <w:rFonts w:hint="eastAsia"/>
                <w:highlight w:val="none"/>
                <w:lang w:val="en-US" w:eastAsia="zh-CN"/>
              </w:rPr>
              <w:t>0</w:t>
            </w:r>
            <w:r>
              <w:rPr>
                <w:highlight w:val="none"/>
              </w:rPr>
              <w:t>年</w:t>
            </w:r>
          </w:p>
        </w:tc>
        <w:tc>
          <w:tcPr>
            <w:tcW w:w="2537" w:type="dxa"/>
            <w:noWrap/>
            <w:vAlign w:val="center"/>
          </w:tcPr>
          <w:p w14:paraId="7AB9DBAA">
            <w:pPr>
              <w:pStyle w:val="35"/>
              <w:bidi w:val="0"/>
              <w:ind w:firstLine="0" w:firstLineChars="0"/>
              <w:jc w:val="center"/>
              <w:rPr>
                <w:rFonts w:hint="default" w:eastAsia="宋体"/>
                <w:highlight w:val="none"/>
                <w:lang w:val="en-US" w:eastAsia="zh-CN"/>
              </w:rPr>
            </w:pPr>
            <w:r>
              <w:rPr>
                <w:rFonts w:hint="eastAsia"/>
                <w:highlight w:val="none"/>
                <w:lang w:val="en-US" w:eastAsia="zh-CN"/>
              </w:rPr>
              <w:t>128</w:t>
            </w:r>
          </w:p>
        </w:tc>
        <w:tc>
          <w:tcPr>
            <w:tcW w:w="2537" w:type="dxa"/>
            <w:shd w:val="clear" w:color="auto" w:fill="auto"/>
            <w:noWrap/>
            <w:vAlign w:val="center"/>
          </w:tcPr>
          <w:p w14:paraId="071D2D89">
            <w:pPr>
              <w:pStyle w:val="35"/>
              <w:bidi w:val="0"/>
              <w:ind w:firstLine="0" w:firstLineChars="0"/>
              <w:jc w:val="center"/>
              <w:rPr>
                <w:rFonts w:hint="default" w:eastAsia="宋体"/>
                <w:highlight w:val="none"/>
                <w:lang w:val="en-US" w:eastAsia="zh-CN"/>
              </w:rPr>
            </w:pPr>
            <w:r>
              <w:rPr>
                <w:rFonts w:hint="eastAsia"/>
                <w:highlight w:val="none"/>
                <w:lang w:val="en-US" w:eastAsia="zh-CN"/>
              </w:rPr>
              <w:t>2987</w:t>
            </w:r>
          </w:p>
        </w:tc>
        <w:tc>
          <w:tcPr>
            <w:tcW w:w="2537" w:type="dxa"/>
            <w:shd w:val="clear" w:color="auto" w:fill="auto"/>
            <w:noWrap/>
            <w:vAlign w:val="center"/>
          </w:tcPr>
          <w:p w14:paraId="0C0467C5">
            <w:pPr>
              <w:pStyle w:val="35"/>
              <w:bidi w:val="0"/>
              <w:ind w:firstLine="0" w:firstLineChars="0"/>
              <w:jc w:val="center"/>
              <w:rPr>
                <w:rFonts w:hint="default" w:eastAsia="宋体"/>
                <w:highlight w:val="none"/>
                <w:lang w:val="en-US" w:eastAsia="zh-CN"/>
              </w:rPr>
            </w:pPr>
            <w:r>
              <w:rPr>
                <w:rFonts w:hint="eastAsia"/>
                <w:highlight w:val="none"/>
                <w:lang w:val="en-US" w:eastAsia="zh-CN"/>
              </w:rPr>
              <w:t>23.34</w:t>
            </w:r>
          </w:p>
        </w:tc>
      </w:tr>
      <w:tr w14:paraId="39CBD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9" w:type="pct"/>
            <w:noWrap/>
            <w:vAlign w:val="center"/>
          </w:tcPr>
          <w:p w14:paraId="786C1B75">
            <w:pPr>
              <w:pStyle w:val="35"/>
              <w:bidi w:val="0"/>
              <w:jc w:val="center"/>
              <w:rPr>
                <w:highlight w:val="none"/>
              </w:rPr>
            </w:pPr>
            <w:r>
              <w:rPr>
                <w:highlight w:val="none"/>
              </w:rPr>
              <w:t>2021年</w:t>
            </w:r>
          </w:p>
        </w:tc>
        <w:tc>
          <w:tcPr>
            <w:tcW w:w="2537" w:type="dxa"/>
            <w:noWrap/>
            <w:vAlign w:val="center"/>
          </w:tcPr>
          <w:p w14:paraId="1378EEEA">
            <w:pPr>
              <w:pStyle w:val="35"/>
              <w:bidi w:val="0"/>
              <w:ind w:firstLine="0" w:firstLineChars="0"/>
              <w:jc w:val="center"/>
              <w:rPr>
                <w:highlight w:val="none"/>
              </w:rPr>
            </w:pPr>
            <w:r>
              <w:rPr>
                <w:rFonts w:hint="eastAsia"/>
                <w:highlight w:val="none"/>
              </w:rPr>
              <w:t>250.03</w:t>
            </w:r>
          </w:p>
        </w:tc>
        <w:tc>
          <w:tcPr>
            <w:tcW w:w="2537" w:type="dxa"/>
            <w:shd w:val="clear" w:color="auto" w:fill="auto"/>
            <w:noWrap/>
            <w:vAlign w:val="center"/>
          </w:tcPr>
          <w:p w14:paraId="1ADA0079">
            <w:pPr>
              <w:pStyle w:val="35"/>
              <w:bidi w:val="0"/>
              <w:ind w:firstLine="0" w:firstLineChars="0"/>
              <w:jc w:val="center"/>
              <w:rPr>
                <w:rFonts w:hint="default" w:ascii="Times New Roman" w:hAnsi="Times New Roman" w:eastAsia="宋体" w:cs="宋体"/>
                <w:highlight w:val="none"/>
                <w:lang w:val="en-US" w:eastAsia="zh-CN"/>
              </w:rPr>
            </w:pPr>
            <w:r>
              <w:rPr>
                <w:rFonts w:hint="eastAsia"/>
                <w:highlight w:val="none"/>
              </w:rPr>
              <w:t>3</w:t>
            </w:r>
            <w:r>
              <w:rPr>
                <w:rFonts w:hint="eastAsia"/>
                <w:highlight w:val="none"/>
                <w:lang w:val="en-US" w:eastAsia="zh-CN"/>
              </w:rPr>
              <w:t>172</w:t>
            </w:r>
          </w:p>
        </w:tc>
        <w:tc>
          <w:tcPr>
            <w:tcW w:w="2537" w:type="dxa"/>
            <w:shd w:val="clear" w:color="auto" w:fill="auto"/>
            <w:noWrap/>
            <w:vAlign w:val="center"/>
          </w:tcPr>
          <w:p w14:paraId="21E292C7">
            <w:pPr>
              <w:pStyle w:val="35"/>
              <w:bidi w:val="0"/>
              <w:ind w:firstLine="0" w:firstLineChars="0"/>
              <w:jc w:val="center"/>
              <w:rPr>
                <w:rFonts w:hint="default" w:ascii="Times New Roman" w:hAnsi="Times New Roman" w:eastAsia="宋体" w:cs="宋体"/>
                <w:highlight w:val="none"/>
                <w:lang w:val="en-US" w:eastAsia="zh-CN"/>
              </w:rPr>
            </w:pPr>
            <w:r>
              <w:rPr>
                <w:rFonts w:hint="eastAsia"/>
                <w:highlight w:val="none"/>
              </w:rPr>
              <w:t>1</w:t>
            </w:r>
            <w:r>
              <w:rPr>
                <w:rFonts w:hint="eastAsia"/>
                <w:highlight w:val="none"/>
                <w:lang w:val="en-US" w:eastAsia="zh-CN"/>
              </w:rPr>
              <w:t>2.69</w:t>
            </w:r>
          </w:p>
        </w:tc>
      </w:tr>
      <w:tr w14:paraId="38A35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9" w:type="pct"/>
            <w:noWrap/>
            <w:vAlign w:val="center"/>
          </w:tcPr>
          <w:p w14:paraId="5BCDD7DC">
            <w:pPr>
              <w:pStyle w:val="35"/>
              <w:bidi w:val="0"/>
              <w:jc w:val="center"/>
              <w:rPr>
                <w:highlight w:val="none"/>
              </w:rPr>
            </w:pPr>
            <w:r>
              <w:rPr>
                <w:highlight w:val="none"/>
              </w:rPr>
              <w:t>2022年</w:t>
            </w:r>
          </w:p>
        </w:tc>
        <w:tc>
          <w:tcPr>
            <w:tcW w:w="2537" w:type="dxa"/>
            <w:noWrap/>
            <w:vAlign w:val="center"/>
          </w:tcPr>
          <w:p w14:paraId="1460A902">
            <w:pPr>
              <w:pStyle w:val="35"/>
              <w:bidi w:val="0"/>
              <w:ind w:firstLine="0" w:firstLineChars="0"/>
              <w:jc w:val="center"/>
              <w:rPr>
                <w:highlight w:val="none"/>
              </w:rPr>
            </w:pPr>
            <w:r>
              <w:rPr>
                <w:rFonts w:hint="eastAsia"/>
                <w:highlight w:val="none"/>
              </w:rPr>
              <w:t>352.04</w:t>
            </w:r>
          </w:p>
        </w:tc>
        <w:tc>
          <w:tcPr>
            <w:tcW w:w="2537" w:type="dxa"/>
            <w:shd w:val="clear" w:color="auto" w:fill="auto"/>
            <w:noWrap/>
            <w:vAlign w:val="center"/>
          </w:tcPr>
          <w:p w14:paraId="0F5690E8">
            <w:pPr>
              <w:pStyle w:val="35"/>
              <w:bidi w:val="0"/>
              <w:ind w:firstLine="0" w:firstLineChars="0"/>
              <w:jc w:val="center"/>
              <w:rPr>
                <w:rFonts w:hint="default" w:ascii="Times New Roman" w:hAnsi="Times New Roman" w:eastAsia="宋体" w:cs="宋体"/>
                <w:highlight w:val="none"/>
                <w:lang w:val="en-US" w:eastAsia="zh-CN"/>
              </w:rPr>
            </w:pPr>
            <w:r>
              <w:rPr>
                <w:rFonts w:hint="eastAsia"/>
                <w:highlight w:val="none"/>
              </w:rPr>
              <w:t>3</w:t>
            </w:r>
            <w:r>
              <w:rPr>
                <w:rFonts w:hint="eastAsia"/>
                <w:highlight w:val="none"/>
                <w:lang w:val="en-US" w:eastAsia="zh-CN"/>
              </w:rPr>
              <w:t>411</w:t>
            </w:r>
          </w:p>
        </w:tc>
        <w:tc>
          <w:tcPr>
            <w:tcW w:w="2537" w:type="dxa"/>
            <w:shd w:val="clear" w:color="auto" w:fill="auto"/>
            <w:noWrap/>
            <w:vAlign w:val="center"/>
          </w:tcPr>
          <w:p w14:paraId="7D74AF0C">
            <w:pPr>
              <w:pStyle w:val="35"/>
              <w:bidi w:val="0"/>
              <w:ind w:firstLine="0" w:firstLineChars="0"/>
              <w:jc w:val="center"/>
              <w:rPr>
                <w:rFonts w:hint="default" w:ascii="Times New Roman" w:hAnsi="Times New Roman" w:eastAsia="宋体" w:cs="宋体"/>
                <w:highlight w:val="none"/>
                <w:lang w:val="en-US" w:eastAsia="zh-CN"/>
              </w:rPr>
            </w:pPr>
            <w:r>
              <w:rPr>
                <w:rFonts w:hint="eastAsia"/>
                <w:highlight w:val="none"/>
                <w:lang w:val="en-US" w:eastAsia="zh-CN"/>
              </w:rPr>
              <w:t>9.69</w:t>
            </w:r>
          </w:p>
        </w:tc>
      </w:tr>
      <w:tr w14:paraId="7D725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9" w:type="pct"/>
            <w:noWrap/>
            <w:vAlign w:val="center"/>
          </w:tcPr>
          <w:p w14:paraId="3045A171">
            <w:pPr>
              <w:pStyle w:val="35"/>
              <w:bidi w:val="0"/>
              <w:jc w:val="center"/>
              <w:rPr>
                <w:rFonts w:hint="default" w:eastAsia="宋体"/>
                <w:highlight w:val="none"/>
                <w:lang w:val="en-US" w:eastAsia="zh-CN"/>
              </w:rPr>
            </w:pPr>
            <w:r>
              <w:rPr>
                <w:rFonts w:hint="eastAsia"/>
                <w:highlight w:val="none"/>
                <w:lang w:val="en-US" w:eastAsia="zh-CN"/>
              </w:rPr>
              <w:t>2023年</w:t>
            </w:r>
          </w:p>
        </w:tc>
        <w:tc>
          <w:tcPr>
            <w:tcW w:w="2537" w:type="dxa"/>
            <w:noWrap/>
            <w:vAlign w:val="center"/>
          </w:tcPr>
          <w:p w14:paraId="30268118">
            <w:pPr>
              <w:pStyle w:val="35"/>
              <w:bidi w:val="0"/>
              <w:ind w:firstLine="0" w:firstLineChars="0"/>
              <w:jc w:val="center"/>
              <w:rPr>
                <w:rFonts w:hint="default" w:eastAsia="宋体"/>
                <w:highlight w:val="none"/>
                <w:lang w:val="en-US" w:eastAsia="zh-CN"/>
              </w:rPr>
            </w:pPr>
            <w:r>
              <w:rPr>
                <w:rFonts w:hint="eastAsia"/>
                <w:highlight w:val="none"/>
                <w:lang w:val="en-US" w:eastAsia="zh-CN"/>
              </w:rPr>
              <w:t>300.60</w:t>
            </w:r>
          </w:p>
        </w:tc>
        <w:tc>
          <w:tcPr>
            <w:tcW w:w="2537" w:type="dxa"/>
            <w:shd w:val="clear" w:color="auto" w:fill="auto"/>
            <w:noWrap/>
            <w:vAlign w:val="center"/>
          </w:tcPr>
          <w:p w14:paraId="64CB6850">
            <w:pPr>
              <w:pStyle w:val="35"/>
              <w:bidi w:val="0"/>
              <w:ind w:firstLine="0" w:firstLineChars="0"/>
              <w:jc w:val="center"/>
              <w:rPr>
                <w:rFonts w:hint="default" w:ascii="Times New Roman" w:hAnsi="Times New Roman" w:eastAsia="宋体" w:cs="宋体"/>
                <w:highlight w:val="none"/>
                <w:lang w:val="en-US" w:eastAsia="zh-CN"/>
              </w:rPr>
            </w:pPr>
            <w:r>
              <w:rPr>
                <w:rFonts w:hint="eastAsia"/>
                <w:highlight w:val="none"/>
                <w:lang w:val="en-US" w:eastAsia="zh-CN"/>
              </w:rPr>
              <w:t>3232</w:t>
            </w:r>
          </w:p>
        </w:tc>
        <w:tc>
          <w:tcPr>
            <w:tcW w:w="2537" w:type="dxa"/>
            <w:shd w:val="clear" w:color="auto" w:fill="auto"/>
            <w:noWrap/>
            <w:vAlign w:val="center"/>
          </w:tcPr>
          <w:p w14:paraId="3E5695B5">
            <w:pPr>
              <w:pStyle w:val="35"/>
              <w:bidi w:val="0"/>
              <w:ind w:firstLine="0" w:firstLineChars="0"/>
              <w:jc w:val="center"/>
              <w:rPr>
                <w:rFonts w:hint="default" w:ascii="Times New Roman" w:hAnsi="Times New Roman" w:eastAsia="宋体" w:cs="宋体"/>
                <w:highlight w:val="none"/>
                <w:lang w:val="en-US" w:eastAsia="zh-CN"/>
              </w:rPr>
            </w:pPr>
            <w:r>
              <w:rPr>
                <w:rFonts w:hint="eastAsia"/>
                <w:highlight w:val="none"/>
                <w:lang w:val="en-US" w:eastAsia="zh-CN"/>
              </w:rPr>
              <w:t>10.75</w:t>
            </w:r>
          </w:p>
        </w:tc>
      </w:tr>
      <w:tr w14:paraId="620D2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9" w:type="pct"/>
            <w:noWrap/>
            <w:vAlign w:val="center"/>
          </w:tcPr>
          <w:p w14:paraId="64218342">
            <w:pPr>
              <w:pStyle w:val="35"/>
              <w:bidi w:val="0"/>
              <w:jc w:val="center"/>
              <w:rPr>
                <w:rFonts w:hint="eastAsia"/>
                <w:highlight w:val="none"/>
                <w:lang w:val="en-US" w:eastAsia="zh-CN"/>
              </w:rPr>
            </w:pPr>
            <w:r>
              <w:rPr>
                <w:highlight w:val="none"/>
              </w:rPr>
              <w:t>202</w:t>
            </w:r>
            <w:r>
              <w:rPr>
                <w:rFonts w:hint="eastAsia"/>
                <w:highlight w:val="none"/>
                <w:lang w:val="en-US" w:eastAsia="zh-CN"/>
              </w:rPr>
              <w:t>4</w:t>
            </w:r>
            <w:r>
              <w:rPr>
                <w:highlight w:val="none"/>
              </w:rPr>
              <w:t>年</w:t>
            </w:r>
          </w:p>
        </w:tc>
        <w:tc>
          <w:tcPr>
            <w:tcW w:w="2537" w:type="dxa"/>
            <w:noWrap/>
            <w:vAlign w:val="center"/>
          </w:tcPr>
          <w:p w14:paraId="393BA004">
            <w:pPr>
              <w:pStyle w:val="35"/>
              <w:bidi w:val="0"/>
              <w:ind w:firstLine="0" w:firstLineChars="0"/>
              <w:jc w:val="center"/>
              <w:rPr>
                <w:rFonts w:hint="default"/>
                <w:highlight w:val="none"/>
                <w:lang w:val="en-US" w:eastAsia="zh-CN"/>
              </w:rPr>
            </w:pPr>
            <w:r>
              <w:rPr>
                <w:rFonts w:hint="eastAsia"/>
                <w:highlight w:val="none"/>
                <w:lang w:val="en-US" w:eastAsia="zh-CN"/>
              </w:rPr>
              <w:t>254.22</w:t>
            </w:r>
          </w:p>
        </w:tc>
        <w:tc>
          <w:tcPr>
            <w:tcW w:w="2537" w:type="dxa"/>
            <w:shd w:val="clear" w:color="auto" w:fill="auto"/>
            <w:noWrap/>
            <w:vAlign w:val="center"/>
          </w:tcPr>
          <w:p w14:paraId="52C127FB">
            <w:pPr>
              <w:pStyle w:val="35"/>
              <w:bidi w:val="0"/>
              <w:ind w:firstLine="0" w:firstLineChars="0"/>
              <w:jc w:val="center"/>
              <w:rPr>
                <w:rFonts w:hint="default" w:eastAsia="宋体"/>
                <w:highlight w:val="none"/>
                <w:lang w:val="en-US" w:eastAsia="zh-CN"/>
              </w:rPr>
            </w:pPr>
            <w:r>
              <w:rPr>
                <w:rFonts w:hint="eastAsia"/>
                <w:highlight w:val="none"/>
                <w:lang w:val="en-US" w:eastAsia="zh-CN"/>
              </w:rPr>
              <w:t>3809</w:t>
            </w:r>
          </w:p>
        </w:tc>
        <w:tc>
          <w:tcPr>
            <w:tcW w:w="2537" w:type="dxa"/>
            <w:shd w:val="clear" w:color="auto" w:fill="auto"/>
            <w:noWrap/>
            <w:vAlign w:val="center"/>
          </w:tcPr>
          <w:p w14:paraId="354019C1">
            <w:pPr>
              <w:pStyle w:val="35"/>
              <w:bidi w:val="0"/>
              <w:ind w:firstLine="0" w:firstLineChars="0"/>
              <w:jc w:val="center"/>
              <w:rPr>
                <w:rFonts w:hint="default" w:eastAsia="宋体"/>
                <w:highlight w:val="none"/>
                <w:lang w:val="en-US" w:eastAsia="zh-CN"/>
              </w:rPr>
            </w:pPr>
            <w:r>
              <w:rPr>
                <w:rFonts w:hint="eastAsia"/>
                <w:highlight w:val="none"/>
                <w:lang w:val="en-US" w:eastAsia="zh-CN"/>
              </w:rPr>
              <w:t>14.98</w:t>
            </w:r>
          </w:p>
        </w:tc>
      </w:tr>
    </w:tbl>
    <w:p w14:paraId="395E77C6">
      <w:pPr>
        <w:ind w:left="0" w:leftChars="0" w:firstLine="0" w:firstLineChars="0"/>
        <w:jc w:val="center"/>
        <w:rPr>
          <w:highlight w:val="none"/>
        </w:rPr>
      </w:pPr>
      <w:r>
        <w:rPr>
          <w:highlight w:val="none"/>
        </w:rPr>
        <w:drawing>
          <wp:inline distT="0" distB="0" distL="114300" distR="114300">
            <wp:extent cx="4838700" cy="281940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4"/>
                    <a:stretch>
                      <a:fillRect/>
                    </a:stretch>
                  </pic:blipFill>
                  <pic:spPr>
                    <a:xfrm>
                      <a:off x="0" y="0"/>
                      <a:ext cx="4838700" cy="2819400"/>
                    </a:xfrm>
                    <a:prstGeom prst="rect">
                      <a:avLst/>
                    </a:prstGeom>
                    <a:noFill/>
                    <a:ln>
                      <a:noFill/>
                    </a:ln>
                  </pic:spPr>
                </pic:pic>
              </a:graphicData>
            </a:graphic>
          </wp:inline>
        </w:drawing>
      </w:r>
    </w:p>
    <w:p w14:paraId="3D4BC137">
      <w:pPr>
        <w:pStyle w:val="33"/>
        <w:bidi w:val="0"/>
        <w:rPr>
          <w:rFonts w:hint="eastAsia" w:eastAsia="黑体"/>
          <w:highlight w:val="none"/>
          <w:lang w:val="en-US" w:eastAsia="zh-CN"/>
        </w:rPr>
      </w:pPr>
      <w:r>
        <w:rPr>
          <w:rFonts w:hint="eastAsia"/>
          <w:highlight w:val="none"/>
          <w:lang w:val="en-US" w:eastAsia="zh-CN"/>
        </w:rPr>
        <w:t>图</w:t>
      </w:r>
      <w:r>
        <w:rPr>
          <w:highlight w:val="none"/>
        </w:rPr>
        <w:t>1-</w:t>
      </w:r>
      <w:r>
        <w:rPr>
          <w:rFonts w:hint="eastAsia"/>
          <w:highlight w:val="none"/>
          <w:lang w:val="en-US" w:eastAsia="zh-CN"/>
        </w:rPr>
        <w:t>5石河子经开区二氧化碳排放总量和碳排放强度变化情况</w:t>
      </w:r>
    </w:p>
    <w:p w14:paraId="4A31FB0F">
      <w:pPr>
        <w:pStyle w:val="3"/>
        <w:ind w:firstLine="640"/>
        <w:rPr>
          <w:highlight w:val="none"/>
        </w:rPr>
      </w:pPr>
      <w:bookmarkStart w:id="33" w:name="_Toc7525"/>
      <w:bookmarkStart w:id="34" w:name="_Toc11342"/>
      <w:bookmarkStart w:id="35" w:name="_Toc29606"/>
      <w:bookmarkStart w:id="36" w:name="_Toc30615"/>
      <w:bookmarkStart w:id="37" w:name="_Toc25944"/>
      <w:r>
        <w:rPr>
          <w:rFonts w:hint="eastAsia"/>
          <w:highlight w:val="none"/>
        </w:rPr>
        <w:t>（三）绿色低碳发展基础</w:t>
      </w:r>
      <w:bookmarkEnd w:id="33"/>
      <w:bookmarkEnd w:id="34"/>
      <w:bookmarkEnd w:id="35"/>
      <w:bookmarkEnd w:id="36"/>
      <w:bookmarkEnd w:id="37"/>
    </w:p>
    <w:p w14:paraId="5844AF22">
      <w:pPr>
        <w:ind w:firstLine="643"/>
        <w:rPr>
          <w:rFonts w:hint="default" w:eastAsia="仿宋_GB2312"/>
          <w:highlight w:val="none"/>
          <w:lang w:val="en-US" w:eastAsia="zh-CN"/>
        </w:rPr>
      </w:pPr>
      <w:r>
        <w:rPr>
          <w:rFonts w:hint="eastAsia"/>
          <w:b/>
          <w:bCs/>
          <w:highlight w:val="none"/>
        </w:rPr>
        <w:t>产业结构</w:t>
      </w:r>
      <w:r>
        <w:rPr>
          <w:rFonts w:hint="eastAsia"/>
          <w:b/>
          <w:bCs/>
          <w:highlight w:val="none"/>
          <w:lang w:val="en-US" w:eastAsia="zh-CN"/>
        </w:rPr>
        <w:t>优化升级</w:t>
      </w:r>
      <w:r>
        <w:rPr>
          <w:rFonts w:hint="eastAsia"/>
          <w:b/>
          <w:bCs/>
          <w:highlight w:val="none"/>
          <w:lang w:eastAsia="zh-CN"/>
        </w:rPr>
        <w:t>，</w:t>
      </w:r>
      <w:r>
        <w:rPr>
          <w:rFonts w:hint="eastAsia"/>
          <w:b w:val="0"/>
          <w:bCs w:val="0"/>
          <w:highlight w:val="none"/>
          <w:lang w:val="en-US" w:eastAsia="zh-CN"/>
        </w:rPr>
        <w:t>着力以投资促进支柱产业建链、强链、补链。</w:t>
      </w:r>
      <w:r>
        <w:rPr>
          <w:rFonts w:hint="eastAsia"/>
          <w:b w:val="0"/>
          <w:bCs w:val="0"/>
          <w:highlight w:val="yellow"/>
          <w:lang w:val="en-US" w:eastAsia="zh-CN"/>
        </w:rPr>
        <w:t>铝基材料领域，以天山铝业有限公司电解铝为上游，引进高纯铝（板带箔）、电子铝箔等项目；硅基材料领域，推动新疆大全新能源股份有限公司完成高纯硅材料技改，引进有机硅等项目；</w:t>
      </w:r>
      <w:r>
        <w:rPr>
          <w:rFonts w:hint="eastAsia"/>
          <w:b w:val="0"/>
          <w:bCs w:val="0"/>
          <w:highlight w:val="none"/>
          <w:lang w:val="en-US" w:eastAsia="zh-CN"/>
        </w:rPr>
        <w:t>纺织服装领域，重点发展了针织、毛巾、服装制造等项目；</w:t>
      </w:r>
      <w:r>
        <w:rPr>
          <w:rFonts w:hint="eastAsia" w:cs="Times New Roman"/>
          <w:highlight w:val="none"/>
          <w:lang w:eastAsia="zh-CN"/>
        </w:rPr>
        <w:t>先后引进600余家股权投资企业，开创兵团金融业招商引资先河</w:t>
      </w:r>
      <w:r>
        <w:rPr>
          <w:rFonts w:hint="eastAsia"/>
          <w:highlight w:val="none"/>
        </w:rPr>
        <w:t>。</w:t>
      </w:r>
      <w:r>
        <w:rPr>
          <w:rFonts w:hint="eastAsia"/>
          <w:highlight w:val="none"/>
          <w:lang w:val="en-US" w:eastAsia="zh-CN"/>
        </w:rPr>
        <w:t>大力发展绿色化工，着力培育高端聚烯烃、电子及化学品、草酸酯系列产品、生物降解材料等化工产业；在电石行业，重点推进电石显热回收利用技术研发应用，推进电石炉采用高效保温材料，大幅减少电石炉体热损失，降低电炉电耗；在烧碱行业，推动离子膜法烧碱装置进行膜极距离子膜电解槽改造升级，推动以高浓度烧碱和固片碱为主要产品的烧碱企业实施多效蒸发节能改造升级。</w:t>
      </w:r>
    </w:p>
    <w:p w14:paraId="2E4712A4">
      <w:pPr>
        <w:ind w:firstLine="643"/>
        <w:rPr>
          <w:rFonts w:hint="eastAsia" w:eastAsia="仿宋_GB2312"/>
          <w:b/>
          <w:bCs/>
          <w:highlight w:val="none"/>
          <w:lang w:val="en-US" w:eastAsia="zh-CN"/>
        </w:rPr>
      </w:pPr>
      <w:r>
        <w:rPr>
          <w:rFonts w:hint="eastAsia"/>
          <w:b/>
          <w:bCs/>
          <w:highlight w:val="none"/>
          <w:lang w:val="en-US" w:eastAsia="zh-CN"/>
        </w:rPr>
        <w:t>全力构建绿色制造体系，</w:t>
      </w:r>
      <w:r>
        <w:rPr>
          <w:rFonts w:hint="eastAsia"/>
          <w:b w:val="0"/>
          <w:bCs w:val="0"/>
          <w:highlight w:val="none"/>
          <w:lang w:val="en-US" w:eastAsia="zh-CN"/>
        </w:rPr>
        <w:t>深入实施绿色制造专项行动。强化产品全生命周期管理，支持企业全面提升工业产品的绿色设计能力，开发绿色产品，建设绿色工厂，持续提高能源资源利用效率。截至2024年底，推动创建7</w:t>
      </w:r>
      <w:r>
        <w:rPr>
          <w:rFonts w:cs="Times New Roman"/>
          <w:highlight w:val="none"/>
        </w:rPr>
        <w:t>家国家级绿色工厂</w:t>
      </w:r>
      <w:r>
        <w:rPr>
          <w:rFonts w:hint="eastAsia" w:cs="Times New Roman"/>
          <w:highlight w:val="none"/>
          <w:lang w:eastAsia="zh-CN"/>
        </w:rPr>
        <w:t>、</w:t>
      </w:r>
      <w:r>
        <w:rPr>
          <w:rFonts w:cs="Times New Roman"/>
          <w:highlight w:val="none"/>
        </w:rPr>
        <w:t>1家国家级绿色设计示范企业</w:t>
      </w:r>
      <w:r>
        <w:rPr>
          <w:rFonts w:hint="eastAsia" w:cs="Times New Roman"/>
          <w:highlight w:val="none"/>
          <w:lang w:eastAsia="zh-CN"/>
        </w:rPr>
        <w:t>、</w:t>
      </w:r>
      <w:r>
        <w:rPr>
          <w:rFonts w:hint="eastAsia" w:cs="Times New Roman"/>
          <w:highlight w:val="none"/>
          <w:lang w:val="en-US" w:eastAsia="zh-CN"/>
        </w:rPr>
        <w:t>2家石油和化工行业绿色工厂，天业集团基于世界首套分置式气固相法循环流化床装置生产的氯化聚氯乙烯树脂获工信部“绿色设计产品”认定，天业集团“年产2万吨氯化高聚物项目”获工信部“绿色制造集成示范项目”。</w:t>
      </w:r>
    </w:p>
    <w:p w14:paraId="2DC985C6">
      <w:pPr>
        <w:ind w:firstLine="643"/>
        <w:rPr>
          <w:rFonts w:hint="eastAsia"/>
          <w:highlight w:val="none"/>
        </w:rPr>
      </w:pPr>
      <w:r>
        <w:rPr>
          <w:rFonts w:hint="eastAsia"/>
          <w:b/>
          <w:bCs/>
          <w:highlight w:val="none"/>
          <w:lang w:val="en-US" w:eastAsia="zh-CN"/>
        </w:rPr>
        <w:t>资源</w:t>
      </w:r>
      <w:r>
        <w:rPr>
          <w:rFonts w:hint="eastAsia"/>
          <w:b/>
          <w:bCs/>
          <w:highlight w:val="none"/>
        </w:rPr>
        <w:t>能源</w:t>
      </w:r>
      <w:r>
        <w:rPr>
          <w:rFonts w:hint="eastAsia"/>
          <w:b/>
          <w:bCs/>
          <w:highlight w:val="none"/>
          <w:lang w:val="en-US" w:eastAsia="zh-CN"/>
        </w:rPr>
        <w:t>利用水平提升</w:t>
      </w:r>
      <w:r>
        <w:rPr>
          <w:rFonts w:hint="eastAsia"/>
          <w:b/>
          <w:bCs/>
          <w:highlight w:val="none"/>
          <w:lang w:eastAsia="zh-CN"/>
        </w:rPr>
        <w:t>，</w:t>
      </w:r>
      <w:r>
        <w:rPr>
          <w:rFonts w:hint="eastAsia"/>
          <w:b w:val="0"/>
          <w:bCs w:val="0"/>
          <w:highlight w:val="none"/>
          <w:lang w:val="en-US" w:eastAsia="zh-CN"/>
        </w:rPr>
        <w:t>促进节能降耗。持续推进循环经济，2021年12月，循环化改造示范试点通过国家发展改革委验收，为兵团首批。“十三五”期间，万元产值综合能耗下降36%，二氧化硫、氮氧化物排放总量分别下降18%左右，工业固体废弃物综合利用率由82%提升至93%，规模以上工业企业重复用水量10.35亿立方米，重复用水率95.7%。</w:t>
      </w:r>
      <w:r>
        <w:rPr>
          <w:rFonts w:hint="eastAsia"/>
          <w:b w:val="0"/>
          <w:bCs w:val="0"/>
          <w:highlight w:val="yellow"/>
          <w:lang w:val="en-US" w:eastAsia="zh-CN"/>
        </w:rPr>
        <w:t>持续推动工业企业节能降耗，推动天山铝业实施铝电解槽稳流保温技改，年节约超1.6万吨标准煤；推动</w:t>
      </w:r>
      <w:r>
        <w:rPr>
          <w:rFonts w:hint="eastAsia"/>
          <w:highlight w:val="yellow"/>
          <w:shd w:val="clear" w:color="auto" w:fill="FFFFFF"/>
        </w:rPr>
        <w:t>新疆西部合盛硅业有限公司</w:t>
      </w:r>
      <w:r>
        <w:rPr>
          <w:rFonts w:hint="eastAsia"/>
          <w:b w:val="0"/>
          <w:bCs w:val="0"/>
          <w:highlight w:val="yellow"/>
          <w:lang w:val="en-US" w:eastAsia="zh-CN"/>
        </w:rPr>
        <w:t>实施尾气余热利用，年节约43万吨标准煤。</w:t>
      </w:r>
      <w:r>
        <w:rPr>
          <w:rFonts w:hint="eastAsia"/>
          <w:b w:val="0"/>
          <w:bCs w:val="0"/>
          <w:highlight w:val="none"/>
          <w:lang w:val="en-US" w:eastAsia="zh-CN"/>
        </w:rPr>
        <w:t>全区拥有61种工业产品，其中多晶硅、工业硅、电石等11种工业品单耗达到国内先进水平，化成箔、高纯铝、多晶硅、玻璃瓶、电、工业硅、棉纱、棉布等39种工业品单耗同比呈下降趋势；热、脱硫剂、PBAT、乙醛酸等9种工业品单耗同比持平。</w:t>
      </w:r>
    </w:p>
    <w:p w14:paraId="3A2CB0DC">
      <w:pPr>
        <w:ind w:firstLine="643"/>
        <w:rPr>
          <w:rFonts w:hint="eastAsia"/>
          <w:highlight w:val="none"/>
        </w:rPr>
      </w:pPr>
      <w:r>
        <w:rPr>
          <w:rFonts w:hint="eastAsia"/>
          <w:b/>
          <w:bCs/>
          <w:highlight w:val="none"/>
          <w:lang w:val="en-US" w:eastAsia="zh-CN"/>
        </w:rPr>
        <w:t>基础设施建设绿色升级。</w:t>
      </w:r>
      <w:r>
        <w:rPr>
          <w:rFonts w:hint="eastAsia"/>
          <w:b w:val="0"/>
          <w:bCs w:val="0"/>
          <w:highlight w:val="none"/>
          <w:lang w:val="en-US" w:eastAsia="zh-CN"/>
        </w:rPr>
        <w:t>石河子经开区</w:t>
      </w:r>
      <w:r>
        <w:rPr>
          <w:rFonts w:hint="eastAsia"/>
          <w:highlight w:val="none"/>
        </w:rPr>
        <w:t>坚持系统治理，完善配套设施和平台</w:t>
      </w:r>
      <w:r>
        <w:rPr>
          <w:rFonts w:hint="eastAsia"/>
          <w:highlight w:val="none"/>
          <w:lang w:eastAsia="zh-CN"/>
        </w:rPr>
        <w:t>，</w:t>
      </w:r>
      <w:r>
        <w:rPr>
          <w:rFonts w:hint="eastAsia"/>
          <w:highlight w:val="none"/>
        </w:rPr>
        <w:t>以创建国家卫生城市、文明城市为契机，推进环卫保洁常态化和东城综合市场改造项目，城市管理水平不断提高。落实“增绿、建绿、添绿、护绿”的工作要求，空间环境实现良好改善。</w:t>
      </w:r>
      <w:r>
        <w:rPr>
          <w:rFonts w:hint="eastAsia"/>
          <w:highlight w:val="yellow"/>
        </w:rPr>
        <w:t>建设完成排水管网及纬五路供热管网、服装标准厂房供热管网和东城综合市场改建室外配套工程建设工作，陆续完成1000万件轮毂项目、天足铁路专用线相关路段等重大项目的征地拆迁工作。</w:t>
      </w:r>
      <w:r>
        <w:rPr>
          <w:rFonts w:hint="eastAsia"/>
          <w:highlight w:val="yellow"/>
          <w:lang w:val="en-US" w:eastAsia="zh-CN"/>
        </w:rPr>
        <w:t>依托天富独立区域电网优势，开展源网荷储一体化项目，构建以新能源为主体的新型电力系统。</w:t>
      </w:r>
      <w:r>
        <w:rPr>
          <w:rFonts w:hint="eastAsia"/>
          <w:highlight w:val="none"/>
        </w:rPr>
        <w:t>加大绿化建设及景观改造力度，完成南区重点路段绿化种植、草坪复播工程和北三东六路口、东十路景观提升改造，共计新增</w:t>
      </w:r>
      <w:r>
        <w:rPr>
          <w:rFonts w:hint="eastAsia"/>
          <w:highlight w:val="none"/>
          <w:lang w:eastAsia="zh-CN"/>
        </w:rPr>
        <w:t>绿地</w:t>
      </w:r>
      <w:r>
        <w:rPr>
          <w:rFonts w:hint="eastAsia"/>
          <w:highlight w:val="none"/>
        </w:rPr>
        <w:t>326余亩。</w:t>
      </w:r>
    </w:p>
    <w:p w14:paraId="77D28F87">
      <w:pPr>
        <w:ind w:firstLine="643"/>
        <w:rPr>
          <w:highlight w:val="none"/>
        </w:rPr>
      </w:pPr>
      <w:bookmarkStart w:id="38" w:name="_Toc127126858"/>
      <w:r>
        <w:rPr>
          <w:rFonts w:hint="eastAsia"/>
          <w:b/>
          <w:bCs/>
          <w:highlight w:val="none"/>
        </w:rPr>
        <w:t>制度管理体系完善</w:t>
      </w:r>
      <w:r>
        <w:rPr>
          <w:rFonts w:hint="eastAsia"/>
          <w:b/>
          <w:bCs/>
          <w:highlight w:val="none"/>
          <w:lang w:eastAsia="zh-CN"/>
        </w:rPr>
        <w:t>，</w:t>
      </w:r>
      <w:r>
        <w:rPr>
          <w:rFonts w:hint="eastAsia"/>
          <w:b w:val="0"/>
          <w:bCs/>
          <w:highlight w:val="none"/>
        </w:rPr>
        <w:t>持续出台绿色</w:t>
      </w:r>
      <w:r>
        <w:rPr>
          <w:rFonts w:hint="eastAsia"/>
          <w:b w:val="0"/>
          <w:bCs/>
          <w:highlight w:val="none"/>
          <w:lang w:val="en-US" w:eastAsia="zh-CN"/>
        </w:rPr>
        <w:t>发展</w:t>
      </w:r>
      <w:r>
        <w:rPr>
          <w:rFonts w:hint="eastAsia"/>
          <w:b w:val="0"/>
          <w:bCs/>
          <w:highlight w:val="none"/>
        </w:rPr>
        <w:t>政策</w:t>
      </w:r>
      <w:r>
        <w:rPr>
          <w:rFonts w:hint="eastAsia"/>
          <w:b w:val="0"/>
          <w:bCs/>
          <w:highlight w:val="none"/>
          <w:lang w:eastAsia="zh-CN"/>
        </w:rPr>
        <w:t>。</w:t>
      </w:r>
      <w:r>
        <w:rPr>
          <w:rFonts w:hint="eastAsia"/>
          <w:highlight w:val="none"/>
        </w:rPr>
        <w:t>在兵团率先推行节能降碳专项行动，印发《石河子经济技术开发区“十四五”节能降碳专项规划》，引导企业开展生产设备绿色低碳改造，降低碳排放，推动</w:t>
      </w:r>
      <w:r>
        <w:rPr>
          <w:rFonts w:hint="eastAsia"/>
          <w:highlight w:val="none"/>
          <w:lang w:val="en-US" w:eastAsia="zh-CN"/>
        </w:rPr>
        <w:t>全区</w:t>
      </w:r>
      <w:r>
        <w:rPr>
          <w:rFonts w:hint="eastAsia"/>
          <w:highlight w:val="none"/>
        </w:rPr>
        <w:t>绿色低碳高质量发展。印发《石河子经济技术开发区“十四五”循环经济发展规划》，推进园区绿色低碳循环发展，构建“企业内小循环、企业间中循环、园区大循环”的循环经济发展模式。</w:t>
      </w:r>
    </w:p>
    <w:bookmarkEnd w:id="38"/>
    <w:p w14:paraId="7D05D6A7">
      <w:pPr>
        <w:bidi w:val="0"/>
        <w:rPr>
          <w:rFonts w:hint="eastAsia" w:eastAsia="仿宋_GB2312"/>
          <w:highlight w:val="none"/>
          <w:lang w:eastAsia="zh-CN"/>
        </w:rPr>
      </w:pPr>
      <w:r>
        <w:rPr>
          <w:rFonts w:hint="eastAsia"/>
          <w:b/>
          <w:bCs/>
          <w:highlight w:val="none"/>
          <w:lang w:val="en-US" w:eastAsia="zh-CN"/>
        </w:rPr>
        <w:t>园区运行智慧管理。</w:t>
      </w:r>
      <w:r>
        <w:rPr>
          <w:rFonts w:hint="eastAsia"/>
          <w:highlight w:val="none"/>
          <w:lang w:val="en-US" w:eastAsia="zh-CN"/>
        </w:rPr>
        <w:t>建设完善</w:t>
      </w:r>
      <w:r>
        <w:rPr>
          <w:rFonts w:cs="Times New Roman"/>
          <w:highlight w:val="none"/>
        </w:rPr>
        <w:t>智慧环保监控平台</w:t>
      </w:r>
      <w:r>
        <w:rPr>
          <w:rFonts w:hint="eastAsia" w:cs="Times New Roman"/>
          <w:highlight w:val="none"/>
          <w:lang w:eastAsia="zh-CN"/>
        </w:rPr>
        <w:t>，</w:t>
      </w:r>
      <w:r>
        <w:rPr>
          <w:rFonts w:cs="Times New Roman"/>
          <w:highlight w:val="none"/>
        </w:rPr>
        <w:t>以园区环境综合监管需求为重点，以园区环境管理平台、企业无组织废气（VOCs）监控系统、恶臭电子鼻在线监控系统建设为基础，实现对园区环境质量、污染源和环境风险源等要素的全面感知和综合评估，提升了园区对空气特征污染的预警监测和应急监测能力；并进一步通过园区环保综合监管平台的建设，对感知数据进行一体化智慧应用，显著提升园区环境监管和科学决策能力，为园区“服务环境管理、改善环境质量、防范环境风险”的目标提供重要的信息化工具和手段；同时促进管理和运行模式创新，建立面向园区环保基础设施一体化的环保服务机制体系，最终实现工业园“点、线、面”立体化的环境监测及预警管理</w:t>
      </w:r>
      <w:r>
        <w:rPr>
          <w:rFonts w:hint="eastAsia" w:cs="Times New Roman"/>
          <w:highlight w:val="none"/>
          <w:lang w:eastAsia="zh-CN"/>
        </w:rPr>
        <w:t>。</w:t>
      </w:r>
    </w:p>
    <w:p w14:paraId="7CCD7A6F">
      <w:pPr>
        <w:pStyle w:val="3"/>
        <w:ind w:firstLine="640"/>
        <w:rPr>
          <w:highlight w:val="none"/>
        </w:rPr>
      </w:pPr>
      <w:bookmarkStart w:id="39" w:name="_Toc31236"/>
      <w:bookmarkStart w:id="40" w:name="_Toc7340"/>
      <w:bookmarkStart w:id="41" w:name="_Toc15465"/>
      <w:bookmarkStart w:id="42" w:name="_Toc18165"/>
      <w:bookmarkStart w:id="43" w:name="_Toc11407"/>
      <w:r>
        <w:rPr>
          <w:rFonts w:hint="eastAsia"/>
          <w:highlight w:val="none"/>
        </w:rPr>
        <w:t>（四）碳减排难点分析</w:t>
      </w:r>
      <w:bookmarkEnd w:id="39"/>
      <w:bookmarkEnd w:id="40"/>
      <w:bookmarkEnd w:id="41"/>
      <w:bookmarkEnd w:id="42"/>
      <w:bookmarkEnd w:id="43"/>
    </w:p>
    <w:p w14:paraId="7FBE3B70">
      <w:pPr>
        <w:pStyle w:val="4"/>
        <w:rPr>
          <w:rFonts w:hint="default" w:eastAsia="仿宋_GB2312"/>
          <w:highlight w:val="none"/>
          <w:lang w:val="en-US" w:eastAsia="zh-CN"/>
        </w:rPr>
      </w:pPr>
      <w:bookmarkStart w:id="44" w:name="_Toc67315044"/>
      <w:r>
        <w:rPr>
          <w:rFonts w:hint="eastAsia"/>
          <w:highlight w:val="none"/>
        </w:rPr>
        <w:t>1</w:t>
      </w:r>
      <w:r>
        <w:rPr>
          <w:highlight w:val="none"/>
        </w:rPr>
        <w:t xml:space="preserve">. </w:t>
      </w:r>
      <w:bookmarkEnd w:id="44"/>
      <w:r>
        <w:rPr>
          <w:rFonts w:hint="eastAsia"/>
          <w:highlight w:val="none"/>
          <w:lang w:val="en-US" w:eastAsia="zh-CN"/>
        </w:rPr>
        <w:t>能源消费结构转型存在一定压力</w:t>
      </w:r>
    </w:p>
    <w:p w14:paraId="5F30AB9F">
      <w:pPr>
        <w:ind w:firstLine="640"/>
        <w:rPr>
          <w:highlight w:val="none"/>
        </w:rPr>
      </w:pPr>
      <w:r>
        <w:rPr>
          <w:rFonts w:hint="eastAsia"/>
          <w:highlight w:val="none"/>
          <w:lang w:eastAsia="zh-CN"/>
        </w:rPr>
        <w:t>石河子</w:t>
      </w:r>
      <w:r>
        <w:rPr>
          <w:rFonts w:hint="eastAsia"/>
          <w:highlight w:val="none"/>
        </w:rPr>
        <w:t>经开区</w:t>
      </w:r>
      <w:r>
        <w:rPr>
          <w:rFonts w:hint="eastAsia"/>
          <w:highlight w:val="none"/>
          <w:lang w:val="en-US" w:eastAsia="zh-CN"/>
        </w:rPr>
        <w:t>能源消费以</w:t>
      </w:r>
      <w:r>
        <w:rPr>
          <w:highlight w:val="none"/>
        </w:rPr>
        <w:t>煤炭</w:t>
      </w:r>
      <w:r>
        <w:rPr>
          <w:rFonts w:hint="eastAsia"/>
          <w:highlight w:val="none"/>
          <w:lang w:val="en-US" w:eastAsia="zh-CN"/>
        </w:rPr>
        <w:t>为主，且</w:t>
      </w:r>
      <w:r>
        <w:rPr>
          <w:highlight w:val="none"/>
        </w:rPr>
        <w:t>能源创新</w:t>
      </w:r>
      <w:r>
        <w:rPr>
          <w:rFonts w:hint="eastAsia"/>
          <w:highlight w:val="none"/>
        </w:rPr>
        <w:t>起步较晚</w:t>
      </w:r>
      <w:r>
        <w:rPr>
          <w:highlight w:val="none"/>
        </w:rPr>
        <w:t>，智慧电网、多能互补、能源梯级利用、储能等</w:t>
      </w:r>
      <w:r>
        <w:rPr>
          <w:rFonts w:hint="eastAsia"/>
          <w:highlight w:val="none"/>
        </w:rPr>
        <w:t>先进</w:t>
      </w:r>
      <w:r>
        <w:rPr>
          <w:highlight w:val="none"/>
        </w:rPr>
        <w:t>用能模式发展不充分</w:t>
      </w:r>
      <w:r>
        <w:rPr>
          <w:rFonts w:hint="eastAsia"/>
          <w:highlight w:val="none"/>
        </w:rPr>
        <w:t>，可再生能源利用占比低，大规模实施难度大，</w:t>
      </w:r>
      <w:r>
        <w:rPr>
          <w:highlight w:val="none"/>
        </w:rPr>
        <w:t>先进技术平台建设支撑不强，</w:t>
      </w:r>
      <w:r>
        <w:rPr>
          <w:rFonts w:hint="eastAsia"/>
          <w:highlight w:val="none"/>
        </w:rPr>
        <w:t>尚</w:t>
      </w:r>
      <w:r>
        <w:rPr>
          <w:highlight w:val="none"/>
        </w:rPr>
        <w:t>未摆脱传统的能源发展模式</w:t>
      </w:r>
      <w:r>
        <w:rPr>
          <w:rFonts w:hint="eastAsia"/>
          <w:highlight w:val="none"/>
          <w:lang w:eastAsia="zh-CN"/>
        </w:rPr>
        <w:t>，</w:t>
      </w:r>
      <w:r>
        <w:rPr>
          <w:rFonts w:hint="eastAsia"/>
          <w:highlight w:val="none"/>
          <w:lang w:val="en-US" w:eastAsia="zh-CN"/>
        </w:rPr>
        <w:t>短期内能源消费结构转型存在一定压力</w:t>
      </w:r>
      <w:r>
        <w:rPr>
          <w:rFonts w:hint="eastAsia"/>
          <w:highlight w:val="none"/>
          <w:lang w:eastAsia="zh-CN"/>
        </w:rPr>
        <w:t>。</w:t>
      </w:r>
    </w:p>
    <w:p w14:paraId="4C412170">
      <w:pPr>
        <w:pStyle w:val="4"/>
        <w:rPr>
          <w:highlight w:val="none"/>
        </w:rPr>
      </w:pPr>
      <w:r>
        <w:rPr>
          <w:rFonts w:hint="eastAsia"/>
          <w:highlight w:val="none"/>
        </w:rPr>
        <w:t>2</w:t>
      </w:r>
      <w:r>
        <w:rPr>
          <w:highlight w:val="none"/>
        </w:rPr>
        <w:t xml:space="preserve">. </w:t>
      </w:r>
      <w:r>
        <w:rPr>
          <w:rFonts w:hint="eastAsia"/>
          <w:highlight w:val="none"/>
          <w:lang w:val="en-US" w:eastAsia="zh-CN"/>
        </w:rPr>
        <w:t>高耗能产业低碳转型</w:t>
      </w:r>
      <w:r>
        <w:rPr>
          <w:highlight w:val="none"/>
        </w:rPr>
        <w:t>有待</w:t>
      </w:r>
      <w:r>
        <w:rPr>
          <w:rFonts w:hint="eastAsia"/>
          <w:highlight w:val="none"/>
          <w:lang w:val="en-US" w:eastAsia="zh-CN"/>
        </w:rPr>
        <w:t>提速</w:t>
      </w:r>
    </w:p>
    <w:p w14:paraId="07AF99CC">
      <w:pPr>
        <w:ind w:firstLine="640"/>
        <w:rPr>
          <w:highlight w:val="none"/>
        </w:rPr>
      </w:pPr>
      <w:r>
        <w:rPr>
          <w:rFonts w:hint="eastAsia"/>
          <w:highlight w:val="none"/>
          <w:lang w:val="en-US" w:eastAsia="zh-CN"/>
        </w:rPr>
        <w:t>石河子经开区新材料产业总产值占全区比重达69%</w:t>
      </w:r>
      <w:r>
        <w:rPr>
          <w:rFonts w:hint="eastAsia"/>
          <w:highlight w:val="none"/>
          <w:lang w:eastAsia="zh-CN"/>
        </w:rPr>
        <w:t>，硅基新材料产业、</w:t>
      </w:r>
      <w:r>
        <w:rPr>
          <w:rFonts w:hint="eastAsia"/>
          <w:highlight w:val="none"/>
          <w:lang w:val="en-US" w:eastAsia="zh-CN"/>
        </w:rPr>
        <w:t>铝基新材料产业企业耗能较高，</w:t>
      </w:r>
      <w:r>
        <w:rPr>
          <w:highlight w:val="none"/>
        </w:rPr>
        <w:t>绿色</w:t>
      </w:r>
      <w:r>
        <w:rPr>
          <w:rFonts w:hint="eastAsia"/>
          <w:highlight w:val="none"/>
          <w:lang w:val="en-US" w:eastAsia="zh-CN"/>
        </w:rPr>
        <w:t>低碳转型面临较多挑战。需加快制定能源转型战略，准确把握政策走向，加大技术研发资金投入，依靠先进的技术支持与可行的工程项目推进能源转型</w:t>
      </w:r>
      <w:r>
        <w:rPr>
          <w:highlight w:val="none"/>
        </w:rPr>
        <w:t>。</w:t>
      </w:r>
    </w:p>
    <w:p w14:paraId="26D06B8A">
      <w:pPr>
        <w:pStyle w:val="4"/>
        <w:rPr>
          <w:rFonts w:hint="default" w:eastAsia="仿宋_GB2312"/>
          <w:highlight w:val="none"/>
          <w:lang w:val="en-US" w:eastAsia="zh-CN"/>
        </w:rPr>
      </w:pPr>
      <w:bookmarkStart w:id="45" w:name="_Toc67315045"/>
      <w:r>
        <w:rPr>
          <w:rFonts w:hint="eastAsia"/>
          <w:highlight w:val="none"/>
        </w:rPr>
        <w:t>3</w:t>
      </w:r>
      <w:r>
        <w:rPr>
          <w:highlight w:val="none"/>
        </w:rPr>
        <w:t xml:space="preserve">. </w:t>
      </w:r>
      <w:r>
        <w:rPr>
          <w:rFonts w:hint="eastAsia"/>
          <w:highlight w:val="none"/>
          <w:lang w:val="en-US" w:eastAsia="zh-CN"/>
        </w:rPr>
        <w:t>集约节约发展不够</w:t>
      </w:r>
    </w:p>
    <w:p w14:paraId="61ECD312">
      <w:pPr>
        <w:ind w:firstLine="640"/>
        <w:rPr>
          <w:rFonts w:hint="eastAsia" w:eastAsia="仿宋_GB2312"/>
          <w:highlight w:val="none"/>
          <w:lang w:eastAsia="zh-CN"/>
        </w:rPr>
      </w:pPr>
      <w:r>
        <w:rPr>
          <w:rFonts w:hint="eastAsia"/>
          <w:highlight w:val="none"/>
          <w:lang w:val="en-US" w:eastAsia="zh-CN"/>
        </w:rPr>
        <w:t>石河子经开区用地集约节约需进一步加强，部分企业占地面积较大，资源消耗高。随着工业化进程的加速，能源需求大幅增加，节能减排更加艰巨，环境压力加大，集约节约的约束日益突出</w:t>
      </w:r>
      <w:r>
        <w:rPr>
          <w:highlight w:val="none"/>
        </w:rPr>
        <w:t>。</w:t>
      </w:r>
      <w:r>
        <w:rPr>
          <w:rFonts w:hint="eastAsia"/>
          <w:highlight w:val="none"/>
          <w:lang w:val="en-US" w:eastAsia="zh-CN"/>
        </w:rPr>
        <w:t>需要</w:t>
      </w:r>
      <w:r>
        <w:rPr>
          <w:rFonts w:hint="eastAsia" w:cs="Times New Roman"/>
          <w:highlight w:val="none"/>
        </w:rPr>
        <w:t>根据区位条件、空间布局结构，合理安排用地功能布局</w:t>
      </w:r>
      <w:r>
        <w:rPr>
          <w:rFonts w:hint="eastAsia" w:cs="Times New Roman"/>
          <w:highlight w:val="none"/>
          <w:lang w:eastAsia="zh-CN"/>
        </w:rPr>
        <w:t>，</w:t>
      </w:r>
      <w:r>
        <w:rPr>
          <w:rFonts w:hint="eastAsia" w:cs="Times New Roman"/>
          <w:highlight w:val="none"/>
        </w:rPr>
        <w:t>控制土地开发强度</w:t>
      </w:r>
      <w:r>
        <w:rPr>
          <w:rFonts w:hint="eastAsia" w:cs="Times New Roman"/>
          <w:highlight w:val="none"/>
          <w:lang w:val="en-US" w:eastAsia="zh-CN"/>
        </w:rPr>
        <w:t>和</w:t>
      </w:r>
      <w:r>
        <w:rPr>
          <w:rFonts w:hint="eastAsia" w:cs="Times New Roman"/>
          <w:highlight w:val="none"/>
        </w:rPr>
        <w:t>环境容量</w:t>
      </w:r>
      <w:r>
        <w:rPr>
          <w:rFonts w:hint="eastAsia" w:cs="Times New Roman"/>
          <w:highlight w:val="none"/>
          <w:lang w:eastAsia="zh-CN"/>
        </w:rPr>
        <w:t>，</w:t>
      </w:r>
      <w:r>
        <w:rPr>
          <w:rFonts w:hint="eastAsia" w:cs="Times New Roman"/>
          <w:highlight w:val="none"/>
        </w:rPr>
        <w:t>改善人居环境，提高土地资源的利用效率，满足有机、多元特征的土地使用需求方式，达到经济、环境和社会可持续发展的相互耦合</w:t>
      </w:r>
      <w:r>
        <w:rPr>
          <w:rFonts w:hint="eastAsia" w:cs="Times New Roman"/>
          <w:highlight w:val="none"/>
          <w:lang w:eastAsia="zh-CN"/>
        </w:rPr>
        <w:t>。</w:t>
      </w:r>
    </w:p>
    <w:p w14:paraId="7FF605DF">
      <w:pPr>
        <w:pStyle w:val="4"/>
        <w:rPr>
          <w:rFonts w:hint="default" w:eastAsia="仿宋_GB2312"/>
          <w:highlight w:val="none"/>
          <w:lang w:val="en-US" w:eastAsia="zh-CN"/>
        </w:rPr>
      </w:pPr>
      <w:r>
        <w:rPr>
          <w:rFonts w:hint="eastAsia"/>
          <w:highlight w:val="none"/>
        </w:rPr>
        <w:t>4</w:t>
      </w:r>
      <w:r>
        <w:rPr>
          <w:highlight w:val="none"/>
        </w:rPr>
        <w:t xml:space="preserve">. </w:t>
      </w:r>
      <w:bookmarkEnd w:id="45"/>
      <w:r>
        <w:rPr>
          <w:rFonts w:hint="eastAsia"/>
          <w:highlight w:val="none"/>
          <w:lang w:eastAsia="zh-CN"/>
        </w:rPr>
        <w:t>科技创新能力</w:t>
      </w:r>
      <w:r>
        <w:rPr>
          <w:rFonts w:hint="eastAsia"/>
          <w:highlight w:val="none"/>
          <w:lang w:val="en-US" w:eastAsia="zh-CN"/>
        </w:rPr>
        <w:t>不足</w:t>
      </w:r>
    </w:p>
    <w:p w14:paraId="2A7C7CFC">
      <w:pPr>
        <w:ind w:firstLine="640"/>
      </w:pPr>
      <w:r>
        <w:rPr>
          <w:rFonts w:hint="eastAsia"/>
          <w:highlight w:val="none"/>
          <w:lang w:eastAsia="zh-CN"/>
        </w:rPr>
        <w:t>一是企业的创新投入较低，直接制约企业的创新能力，制约企业开发高端产品、进入行业高端市场的能力，无法为企业突破“低端锁定”困境提供有效支持。二是企业创新体系建设较为滞后。研发部门力量薄弱，缺乏可持续发展所需的技术储备，不能为企业实施创新驱动战略提供有效支持。三是企业和科研院所及大专院校的互动机制不健全，产品结构层次较低，缺乏创新与差异化能力</w:t>
      </w:r>
      <w:r>
        <w:t>。</w:t>
      </w:r>
      <w:r>
        <w:br w:type="page"/>
      </w:r>
    </w:p>
    <w:p w14:paraId="5FB65C88">
      <w:pPr>
        <w:pStyle w:val="2"/>
        <w:ind w:firstLine="640"/>
      </w:pPr>
      <w:bookmarkStart w:id="46" w:name="_Toc13314"/>
      <w:bookmarkStart w:id="47" w:name="_Toc3991"/>
      <w:bookmarkStart w:id="48" w:name="_Toc19084"/>
      <w:bookmarkStart w:id="49" w:name="_Toc11919"/>
      <w:bookmarkStart w:id="50" w:name="_Toc20298"/>
      <w:r>
        <w:rPr>
          <w:rFonts w:hint="eastAsia"/>
        </w:rPr>
        <w:t>二、</w:t>
      </w:r>
      <w:r>
        <w:rPr>
          <w:rFonts w:hint="eastAsia"/>
          <w:lang w:val="en-US" w:eastAsia="zh-CN"/>
        </w:rPr>
        <w:t>建设</w:t>
      </w:r>
      <w:r>
        <w:rPr>
          <w:rFonts w:hint="eastAsia"/>
        </w:rPr>
        <w:t>目标</w:t>
      </w:r>
      <w:bookmarkEnd w:id="46"/>
      <w:bookmarkEnd w:id="47"/>
      <w:bookmarkEnd w:id="48"/>
      <w:bookmarkEnd w:id="49"/>
      <w:bookmarkEnd w:id="50"/>
    </w:p>
    <w:p w14:paraId="35CCD854">
      <w:pPr>
        <w:pStyle w:val="3"/>
        <w:ind w:firstLine="640"/>
        <w:rPr>
          <w:rFonts w:hint="default" w:eastAsia="楷体_GB2312"/>
          <w:lang w:val="en-US" w:eastAsia="zh-CN"/>
        </w:rPr>
      </w:pPr>
      <w:bookmarkStart w:id="51" w:name="_Toc2855"/>
      <w:bookmarkStart w:id="52" w:name="_Toc29797"/>
      <w:bookmarkStart w:id="53" w:name="_Toc28327"/>
      <w:bookmarkStart w:id="54" w:name="_Toc19805"/>
      <w:bookmarkStart w:id="55" w:name="_Toc24542"/>
      <w:r>
        <w:rPr>
          <w:rFonts w:hint="eastAsia"/>
        </w:rPr>
        <w:t>（一）</w:t>
      </w:r>
      <w:r>
        <w:rPr>
          <w:rFonts w:hint="eastAsia"/>
          <w:lang w:val="en-US" w:eastAsia="zh-CN"/>
        </w:rPr>
        <w:t>指导思想</w:t>
      </w:r>
      <w:bookmarkEnd w:id="51"/>
      <w:bookmarkEnd w:id="52"/>
      <w:bookmarkEnd w:id="53"/>
      <w:bookmarkEnd w:id="54"/>
      <w:bookmarkEnd w:id="55"/>
    </w:p>
    <w:p w14:paraId="7091BA10">
      <w:pPr>
        <w:ind w:firstLine="640"/>
        <w:rPr>
          <w:lang w:val="en"/>
        </w:rPr>
      </w:pPr>
      <w:r>
        <w:rPr>
          <w:lang w:val="en"/>
        </w:rPr>
        <w:t>以习近平新时代中国特色社会主义思想为指导，</w:t>
      </w:r>
      <w:r>
        <w:rPr>
          <w:rFonts w:hint="eastAsia"/>
          <w:lang w:val="en"/>
        </w:rPr>
        <w:t>以</w:t>
      </w:r>
      <w:r>
        <w:rPr>
          <w:lang w:val="en"/>
        </w:rPr>
        <w:t>习近平</w:t>
      </w:r>
      <w:r>
        <w:rPr>
          <w:rFonts w:hint="eastAsia"/>
          <w:lang w:val="en-US" w:eastAsia="zh-CN"/>
        </w:rPr>
        <w:t>经济思想、习近平</w:t>
      </w:r>
      <w:r>
        <w:rPr>
          <w:lang w:val="en"/>
        </w:rPr>
        <w:t>生态文明思想为</w:t>
      </w:r>
      <w:r>
        <w:rPr>
          <w:rFonts w:hint="eastAsia"/>
          <w:lang w:val="en"/>
        </w:rPr>
        <w:t>根本</w:t>
      </w:r>
      <w:r>
        <w:rPr>
          <w:lang w:val="en"/>
        </w:rPr>
        <w:t>遵循，</w:t>
      </w:r>
      <w:r>
        <w:rPr>
          <w:rFonts w:hint="eastAsia"/>
          <w:color w:val="auto"/>
          <w:highlight w:val="none"/>
        </w:rPr>
        <w:t>贯彻落实兵团第八次党代会和兵团党委八届二次、三次、四次全会决策部署</w:t>
      </w:r>
      <w:r>
        <w:rPr>
          <w:rFonts w:hint="eastAsia"/>
          <w:color w:val="auto"/>
          <w:highlight w:val="none"/>
          <w:lang w:eastAsia="zh-CN"/>
        </w:rPr>
        <w:t>，</w:t>
      </w:r>
      <w:r>
        <w:rPr>
          <w:rFonts w:hint="eastAsia"/>
          <w:color w:val="auto"/>
          <w:highlight w:val="none"/>
        </w:rPr>
        <w:t>完整准确贯彻新时代党的治疆方略</w:t>
      </w:r>
      <w:r>
        <w:rPr>
          <w:rFonts w:hint="eastAsia"/>
          <w:color w:val="auto"/>
          <w:highlight w:val="none"/>
          <w:lang w:eastAsia="zh-CN"/>
        </w:rPr>
        <w:t>，</w:t>
      </w:r>
      <w:r>
        <w:rPr>
          <w:rFonts w:hint="eastAsia"/>
          <w:color w:val="auto"/>
          <w:highlight w:val="none"/>
          <w:lang w:val="en-US" w:eastAsia="zh-CN"/>
        </w:rPr>
        <w:t>坚持稳中求进工作总基调，</w:t>
      </w:r>
      <w:r>
        <w:rPr>
          <w:rFonts w:hint="eastAsia"/>
          <w:color w:val="auto"/>
          <w:highlight w:val="none"/>
        </w:rPr>
        <w:t>完整准确全面贯彻新发展理念</w:t>
      </w:r>
      <w:r>
        <w:rPr>
          <w:rFonts w:hint="eastAsia"/>
          <w:color w:val="auto"/>
          <w:highlight w:val="none"/>
          <w:lang w:eastAsia="zh-CN"/>
        </w:rPr>
        <w:t>，</w:t>
      </w:r>
      <w:r>
        <w:rPr>
          <w:rFonts w:hint="eastAsia"/>
          <w:color w:val="auto"/>
          <w:highlight w:val="none"/>
        </w:rPr>
        <w:t>注重处理好发展和减排、整体和局部、长远目标和短期目标、政府和市场的关系</w:t>
      </w:r>
      <w:r>
        <w:rPr>
          <w:rFonts w:hint="eastAsia"/>
          <w:color w:val="auto"/>
          <w:highlight w:val="none"/>
          <w:lang w:eastAsia="zh-CN"/>
        </w:rPr>
        <w:t>，</w:t>
      </w:r>
      <w:r>
        <w:rPr>
          <w:lang w:val="en"/>
        </w:rPr>
        <w:t>推动</w:t>
      </w:r>
      <w:r>
        <w:rPr>
          <w:rFonts w:hint="eastAsia"/>
          <w:lang w:val="en-US" w:eastAsia="zh-CN"/>
        </w:rPr>
        <w:t>建设</w:t>
      </w:r>
      <w:r>
        <w:rPr>
          <w:lang w:val="en"/>
        </w:rPr>
        <w:t>资源高效利用</w:t>
      </w:r>
      <w:r>
        <w:rPr>
          <w:rFonts w:hint="eastAsia"/>
          <w:lang w:val="en" w:eastAsia="zh-CN"/>
        </w:rPr>
        <w:t>、</w:t>
      </w:r>
      <w:r>
        <w:rPr>
          <w:lang w:val="en"/>
        </w:rPr>
        <w:t>绿色低碳发展的</w:t>
      </w:r>
      <w:r>
        <w:rPr>
          <w:rFonts w:hint="eastAsia"/>
          <w:lang w:val="en-US" w:eastAsia="zh-CN"/>
        </w:rPr>
        <w:t>工业园区</w:t>
      </w:r>
      <w:r>
        <w:rPr>
          <w:lang w:val="en"/>
        </w:rPr>
        <w:t>，</w:t>
      </w:r>
      <w:r>
        <w:t>着力打造国家级碳达峰</w:t>
      </w:r>
      <w:r>
        <w:rPr>
          <w:rFonts w:hint="eastAsia"/>
        </w:rPr>
        <w:t>综合示范区和国际领先的产业</w:t>
      </w:r>
      <w:r>
        <w:t>园区绿色低碳发展先锋，</w:t>
      </w:r>
      <w:r>
        <w:rPr>
          <w:lang w:val="en"/>
        </w:rPr>
        <w:t>确保区域</w:t>
      </w:r>
      <w:r>
        <w:rPr>
          <w:rFonts w:hint="eastAsia"/>
          <w:lang w:val="en-US" w:eastAsia="zh-CN"/>
        </w:rPr>
        <w:t>如期</w:t>
      </w:r>
      <w:r>
        <w:rPr>
          <w:lang w:val="en"/>
        </w:rPr>
        <w:t>实现碳达峰。</w:t>
      </w:r>
    </w:p>
    <w:p w14:paraId="1ADB5C96">
      <w:pPr>
        <w:pStyle w:val="3"/>
        <w:rPr>
          <w:rFonts w:hint="eastAsia"/>
          <w:lang w:val="en-US" w:eastAsia="zh-CN"/>
        </w:rPr>
      </w:pPr>
      <w:bookmarkStart w:id="56" w:name="_Toc17700"/>
      <w:bookmarkStart w:id="57" w:name="_Toc10727"/>
      <w:bookmarkStart w:id="58" w:name="_Toc14014"/>
      <w:bookmarkStart w:id="59" w:name="_Toc14947"/>
      <w:bookmarkStart w:id="60" w:name="_Toc29230"/>
      <w:r>
        <w:rPr>
          <w:rFonts w:hint="eastAsia"/>
          <w:lang w:val="en-US" w:eastAsia="zh-CN"/>
        </w:rPr>
        <w:t>（二）实施路径</w:t>
      </w:r>
      <w:bookmarkEnd w:id="56"/>
      <w:bookmarkEnd w:id="57"/>
      <w:bookmarkEnd w:id="58"/>
      <w:bookmarkEnd w:id="59"/>
      <w:bookmarkEnd w:id="60"/>
    </w:p>
    <w:p w14:paraId="040B38CD">
      <w:pPr>
        <w:ind w:firstLine="640"/>
        <w:rPr>
          <w:rFonts w:hint="eastAsia"/>
          <w:highlight w:val="yellow"/>
        </w:rPr>
      </w:pPr>
      <w:r>
        <w:rPr>
          <w:rFonts w:hint="eastAsia"/>
          <w:lang w:val="en-US" w:eastAsia="zh-CN"/>
        </w:rPr>
        <w:t>立足园区发展实际，</w:t>
      </w:r>
      <w:r>
        <w:rPr>
          <w:rFonts w:hint="default"/>
          <w:b/>
          <w:bCs/>
          <w:lang w:val="en-US" w:eastAsia="zh-CN"/>
        </w:rPr>
        <w:t>以能源转型为核心，以产业转型为引领，以生产方式绿色化为重点，以政策创新为驱动</w:t>
      </w:r>
      <w:r>
        <w:rPr>
          <w:rFonts w:hint="eastAsia"/>
          <w:lang w:val="en-US" w:eastAsia="zh-CN"/>
        </w:rPr>
        <w:t>，推动园区产业高质量发展，提升基础设施绿色低碳水平，大力推动资源循环利用，提升减污降碳协同能力，积极打造新疆产业转型升级示范区、兵团产业高质量发展引领区</w:t>
      </w:r>
      <w:r>
        <w:rPr>
          <w:rFonts w:hint="eastAsia"/>
          <w:highlight w:val="none"/>
        </w:rPr>
        <w:t>。</w:t>
      </w:r>
    </w:p>
    <w:p w14:paraId="7A5AEAF6">
      <w:pPr>
        <w:ind w:firstLine="0"/>
        <w:rPr>
          <w:rFonts w:hint="default"/>
          <w:lang w:val="en-US" w:eastAsia="zh-CN"/>
        </w:rPr>
      </w:pPr>
      <w:r>
        <w:rPr>
          <w:rFonts w:hint="default"/>
          <w:b/>
          <w:bCs/>
          <w:lang w:val="en-US" w:eastAsia="zh-CN"/>
        </w:rPr>
        <w:t>以能源转型为核心，奠定绿色低碳发展坚实基础。</w:t>
      </w:r>
      <w:r>
        <w:rPr>
          <w:rFonts w:hint="default"/>
          <w:lang w:val="en-US" w:eastAsia="zh-CN"/>
        </w:rPr>
        <w:t>立足以煤为主的能源消费实际，在新能源安全可靠替代基础上稳步推动传统能源逐步退出。全面启动经开区煤电机组“三改联动”，有效减少燃煤使用和碳排放。坚持将绿电开发与绿电消纳作为降碳的源头活水，依托师市集中式光伏项目建设，全力争取绿电资源，并以铝、硅产业的核心企业为重点，大力推进能源消费侧的结构转型。推进</w:t>
      </w:r>
      <w:r>
        <w:rPr>
          <w:rFonts w:hint="eastAsia"/>
          <w:lang w:val="en-US" w:eastAsia="zh-CN"/>
        </w:rPr>
        <w:t>储能产业</w:t>
      </w:r>
      <w:r>
        <w:rPr>
          <w:rFonts w:hint="default"/>
          <w:lang w:val="en-US" w:eastAsia="zh-CN"/>
        </w:rPr>
        <w:t>发展，构建以新能源为主体的新型电力架构；积极推动绿氢示范项目，推动建设绿氢减碳创新应用示范工程。</w:t>
      </w:r>
    </w:p>
    <w:p w14:paraId="32959709">
      <w:pPr>
        <w:ind w:firstLine="0"/>
        <w:rPr>
          <w:rFonts w:hint="default"/>
          <w:lang w:val="en-US" w:eastAsia="zh-CN"/>
        </w:rPr>
      </w:pPr>
      <w:r>
        <w:rPr>
          <w:rFonts w:hint="default"/>
          <w:b/>
          <w:bCs/>
          <w:lang w:val="en-US" w:eastAsia="zh-CN"/>
        </w:rPr>
        <w:t>以产业转型为引领，推动产业集群向高端绿色迈进。</w:t>
      </w:r>
      <w:r>
        <w:rPr>
          <w:rFonts w:hint="default"/>
          <w:lang w:val="en-US" w:eastAsia="zh-CN"/>
        </w:rPr>
        <w:t>优化产业结构，依法依规淘汰落后产能，大力发展战略性新兴产业，并加速传统产业的绿色低碳改造，大力发展光伏为主的绿色能源装备制造业。着力推动产业链条式延伸、资源循环式利用以及企业集群式组合，推动现有产业集群向高端化、绿色化、智能化方向转型升级。严格对标国家能效标杆水平和基准水平，推动有色金属、化工、新材料、建材等重点行业节能降碳。</w:t>
      </w:r>
    </w:p>
    <w:p w14:paraId="67C02FB7">
      <w:pPr>
        <w:ind w:firstLine="0"/>
        <w:rPr>
          <w:rFonts w:hint="default"/>
          <w:lang w:val="en-US" w:eastAsia="zh-CN"/>
        </w:rPr>
      </w:pPr>
      <w:r>
        <w:rPr>
          <w:rFonts w:hint="default"/>
          <w:b/>
          <w:bCs/>
          <w:lang w:val="en-US" w:eastAsia="zh-CN"/>
        </w:rPr>
        <w:t>以生产方式绿色化为重点，提升企业节能降碳能力。</w:t>
      </w:r>
      <w:r>
        <w:rPr>
          <w:rFonts w:hint="default"/>
          <w:lang w:val="en-US" w:eastAsia="zh-CN"/>
        </w:rPr>
        <w:t>以生产方式绿色化为重点，持续推进国家级、兵团级绿色产品、绿色工厂、绿色工业园区和绿色供应链管理企业的建设。对绿色工厂实施全过程动态化管理，并探索分类开展星级评价。“一企一策”地开展节能降碳工作，引导企业向绿色低碳转型。引进第三方服务机构“环保管家”，形成园区主导、第三方引导、企业执行的多元协同共治机制。</w:t>
      </w:r>
    </w:p>
    <w:p w14:paraId="407BBEDA">
      <w:pPr>
        <w:ind w:firstLine="640"/>
        <w:rPr>
          <w:rFonts w:hint="default"/>
          <w:lang w:val="en-US" w:eastAsia="zh-CN"/>
        </w:rPr>
      </w:pPr>
      <w:r>
        <w:rPr>
          <w:rFonts w:hint="default"/>
          <w:b/>
          <w:bCs/>
          <w:lang w:val="en-US" w:eastAsia="zh-CN"/>
        </w:rPr>
        <w:t>以政策创新为驱动，构建</w:t>
      </w:r>
      <w:r>
        <w:rPr>
          <w:rFonts w:hint="eastAsia"/>
          <w:b/>
          <w:bCs/>
          <w:lang w:val="en-US" w:eastAsia="zh-CN"/>
        </w:rPr>
        <w:t>园区</w:t>
      </w:r>
      <w:r>
        <w:rPr>
          <w:rFonts w:hint="default"/>
          <w:b/>
          <w:bCs/>
          <w:lang w:val="en-US" w:eastAsia="zh-CN"/>
        </w:rPr>
        <w:t>特色</w:t>
      </w:r>
      <w:r>
        <w:rPr>
          <w:rFonts w:hint="eastAsia"/>
          <w:b/>
          <w:bCs/>
          <w:lang w:val="en-US" w:eastAsia="zh-CN"/>
        </w:rPr>
        <w:t>“双碳”</w:t>
      </w:r>
      <w:r>
        <w:rPr>
          <w:rFonts w:hint="default"/>
          <w:b/>
          <w:bCs/>
          <w:lang w:val="en-US" w:eastAsia="zh-CN"/>
        </w:rPr>
        <w:t>政策体系。</w:t>
      </w:r>
      <w:r>
        <w:rPr>
          <w:rFonts w:hint="default"/>
          <w:lang w:val="en-US" w:eastAsia="zh-CN"/>
        </w:rPr>
        <w:t>积极探索能耗双控向碳排放双控的转变，积极探索能耗双控向碳排放双控的转变，将碳排放指标纳入园区经济和社会发展规划，着力完善园区层面碳排放统计核算体系，夯实数据基础，探索建立碳排放预算管理体系。同时，在新能源、绿色技术、绿色产业等方面加强政策扶持，统筹生态环境保护、节能降碳等资金，加大对碳达峰、碳中和工作支持力度。</w:t>
      </w:r>
    </w:p>
    <w:p w14:paraId="060DF7E4">
      <w:pPr>
        <w:pStyle w:val="3"/>
        <w:ind w:firstLine="640"/>
        <w:rPr>
          <w:highlight w:val="none"/>
        </w:rPr>
      </w:pPr>
      <w:bookmarkStart w:id="61" w:name="_Toc9439"/>
      <w:bookmarkStart w:id="62" w:name="_Toc24437"/>
      <w:bookmarkStart w:id="63" w:name="_Toc3607"/>
      <w:bookmarkStart w:id="64" w:name="_Toc658"/>
      <w:bookmarkStart w:id="65" w:name="_Toc7434"/>
      <w:r>
        <w:rPr>
          <w:rFonts w:hint="eastAsia"/>
          <w:highlight w:val="none"/>
        </w:rPr>
        <w:t>（</w:t>
      </w:r>
      <w:r>
        <w:rPr>
          <w:rFonts w:hint="eastAsia"/>
          <w:highlight w:val="none"/>
          <w:lang w:val="en-US" w:eastAsia="zh-CN"/>
        </w:rPr>
        <w:t>三</w:t>
      </w:r>
      <w:r>
        <w:rPr>
          <w:rFonts w:hint="eastAsia"/>
          <w:highlight w:val="none"/>
        </w:rPr>
        <w:t>）主要目标</w:t>
      </w:r>
      <w:bookmarkEnd w:id="61"/>
      <w:bookmarkEnd w:id="62"/>
      <w:bookmarkEnd w:id="63"/>
      <w:bookmarkEnd w:id="64"/>
      <w:bookmarkEnd w:id="65"/>
    </w:p>
    <w:p w14:paraId="17D55BF7">
      <w:pPr>
        <w:ind w:firstLine="640"/>
        <w:rPr>
          <w:lang w:val="en"/>
        </w:rPr>
        <w:sectPr>
          <w:footerReference r:id="rId8" w:type="default"/>
          <w:pgSz w:w="11906" w:h="16838"/>
          <w:pgMar w:top="2098" w:right="1474" w:bottom="1985" w:left="1588" w:header="1134" w:footer="1134" w:gutter="0"/>
          <w:pgNumType w:start="1"/>
          <w:cols w:space="425" w:num="1"/>
          <w:docGrid w:type="linesAndChars" w:linePitch="312" w:charSpace="0"/>
        </w:sectPr>
      </w:pPr>
      <w:r>
        <w:rPr>
          <w:rFonts w:hint="eastAsia"/>
          <w:lang w:val="en-US" w:eastAsia="zh-CN"/>
        </w:rPr>
        <w:t>到2030年</w:t>
      </w:r>
      <w:r>
        <w:rPr>
          <w:rFonts w:hint="eastAsia"/>
          <w:lang w:val="en"/>
        </w:rPr>
        <w:t>，产业结构调整取得重大进展，清洁低碳安全高效的能源体系初步建立，重点耗能行业能源利用效率达到国内先进水平，绿色</w:t>
      </w:r>
      <w:r>
        <w:rPr>
          <w:rFonts w:hint="eastAsia"/>
          <w:lang w:val="en-US" w:eastAsia="zh-CN"/>
        </w:rPr>
        <w:t>生产</w:t>
      </w:r>
      <w:r>
        <w:rPr>
          <w:rFonts w:hint="eastAsia"/>
          <w:lang w:val="en"/>
        </w:rPr>
        <w:t>生活</w:t>
      </w:r>
      <w:r>
        <w:rPr>
          <w:rFonts w:hint="eastAsia"/>
          <w:lang w:val="en-US" w:eastAsia="zh-CN"/>
        </w:rPr>
        <w:t>理念深入人心</w:t>
      </w:r>
      <w:r>
        <w:rPr>
          <w:rFonts w:hint="eastAsia"/>
          <w:lang w:val="en"/>
        </w:rPr>
        <w:t>，绿色低碳循环发展生产体系、流通体系、消费体系、政策体系基本健全，非化石能源消费比重进一步提高，加快实现生产生活方式绿色变革。到2030年，开发区经济社会发展全面绿色转型取得显著成效，顺利实现2030年前碳达峰目标</w:t>
      </w:r>
      <w:r>
        <w:rPr>
          <w:rFonts w:hint="eastAsia"/>
          <w:lang w:eastAsia="zh-CN"/>
        </w:rPr>
        <w:t>，</w:t>
      </w:r>
      <w:r>
        <w:rPr>
          <w:rFonts w:hint="eastAsia"/>
          <w:highlight w:val="none"/>
          <w:lang w:eastAsia="zh-CN"/>
        </w:rPr>
        <w:t>为全国同类园区提供可复制、可推广的绿色低碳转型经验做法</w:t>
      </w:r>
      <w:r>
        <w:rPr>
          <w:highlight w:val="none"/>
          <w:lang w:val="en"/>
        </w:rPr>
        <w:t>。</w:t>
      </w:r>
    </w:p>
    <w:p w14:paraId="59954BBD">
      <w:pPr>
        <w:pStyle w:val="33"/>
      </w:pPr>
      <w:r>
        <w:rPr>
          <w:rFonts w:hint="eastAsia"/>
        </w:rPr>
        <w:t>表</w:t>
      </w:r>
      <w:r>
        <w:rPr>
          <w:rFonts w:hint="eastAsia"/>
          <w:lang w:val="en-US" w:eastAsia="zh-CN"/>
        </w:rPr>
        <w:t>2-1</w:t>
      </w:r>
      <w:r>
        <w:t xml:space="preserve"> </w:t>
      </w:r>
      <w:r>
        <w:rPr>
          <w:rFonts w:hint="eastAsia"/>
        </w:rPr>
        <w:t>碳达峰试点园区建设指标</w:t>
      </w:r>
    </w:p>
    <w:tbl>
      <w:tblPr>
        <w:tblStyle w:val="4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2137"/>
        <w:gridCol w:w="3075"/>
        <w:gridCol w:w="1288"/>
        <w:gridCol w:w="1204"/>
        <w:gridCol w:w="1204"/>
        <w:gridCol w:w="1204"/>
        <w:gridCol w:w="2319"/>
      </w:tblGrid>
      <w:tr w14:paraId="7BDDC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08" w:type="pct"/>
            <w:noWrap/>
            <w:vAlign w:val="center"/>
          </w:tcPr>
          <w:p w14:paraId="1391FC48">
            <w:pPr>
              <w:pStyle w:val="35"/>
              <w:jc w:val="center"/>
              <w:rPr>
                <w:b/>
                <w:bCs/>
              </w:rPr>
            </w:pPr>
            <w:r>
              <w:rPr>
                <w:rFonts w:hint="eastAsia"/>
                <w:b/>
                <w:bCs/>
              </w:rPr>
              <w:t>序号</w:t>
            </w:r>
          </w:p>
        </w:tc>
        <w:tc>
          <w:tcPr>
            <w:tcW w:w="823" w:type="pct"/>
            <w:noWrap/>
            <w:vAlign w:val="center"/>
          </w:tcPr>
          <w:p w14:paraId="4EE448D8">
            <w:pPr>
              <w:pStyle w:val="35"/>
              <w:jc w:val="center"/>
              <w:rPr>
                <w:b/>
                <w:bCs/>
              </w:rPr>
            </w:pPr>
            <w:r>
              <w:rPr>
                <w:rFonts w:hint="eastAsia"/>
                <w:b/>
                <w:bCs/>
              </w:rPr>
              <w:t>类别</w:t>
            </w:r>
          </w:p>
        </w:tc>
        <w:tc>
          <w:tcPr>
            <w:tcW w:w="1185" w:type="pct"/>
            <w:noWrap/>
            <w:vAlign w:val="center"/>
          </w:tcPr>
          <w:p w14:paraId="048E0215">
            <w:pPr>
              <w:pStyle w:val="35"/>
              <w:jc w:val="center"/>
              <w:rPr>
                <w:b/>
                <w:bCs/>
              </w:rPr>
            </w:pPr>
            <w:r>
              <w:rPr>
                <w:rFonts w:hint="eastAsia"/>
                <w:b/>
                <w:bCs/>
              </w:rPr>
              <w:t>具体指标</w:t>
            </w:r>
          </w:p>
        </w:tc>
        <w:tc>
          <w:tcPr>
            <w:tcW w:w="496" w:type="pct"/>
            <w:noWrap/>
            <w:vAlign w:val="center"/>
          </w:tcPr>
          <w:p w14:paraId="18384238">
            <w:pPr>
              <w:pStyle w:val="35"/>
              <w:jc w:val="center"/>
              <w:rPr>
                <w:b/>
                <w:bCs/>
              </w:rPr>
            </w:pPr>
            <w:r>
              <w:rPr>
                <w:rFonts w:hint="eastAsia"/>
                <w:b/>
                <w:bCs/>
              </w:rPr>
              <w:t>单位</w:t>
            </w:r>
          </w:p>
        </w:tc>
        <w:tc>
          <w:tcPr>
            <w:tcW w:w="464" w:type="pct"/>
            <w:vAlign w:val="center"/>
          </w:tcPr>
          <w:p w14:paraId="1D8B46BC">
            <w:pPr>
              <w:pStyle w:val="35"/>
              <w:jc w:val="center"/>
              <w:rPr>
                <w:b/>
                <w:bCs/>
              </w:rPr>
            </w:pPr>
            <w:r>
              <w:rPr>
                <w:rFonts w:hint="eastAsia"/>
                <w:b/>
                <w:bCs/>
              </w:rPr>
              <w:t>2</w:t>
            </w:r>
            <w:r>
              <w:rPr>
                <w:b/>
                <w:bCs/>
              </w:rPr>
              <w:t>02</w:t>
            </w:r>
            <w:r>
              <w:rPr>
                <w:rFonts w:hint="eastAsia"/>
                <w:b/>
                <w:bCs/>
                <w:lang w:val="en-US" w:eastAsia="zh-CN"/>
              </w:rPr>
              <w:t>4</w:t>
            </w:r>
          </w:p>
        </w:tc>
        <w:tc>
          <w:tcPr>
            <w:tcW w:w="464" w:type="pct"/>
            <w:vAlign w:val="center"/>
          </w:tcPr>
          <w:p w14:paraId="3B9A26B4">
            <w:pPr>
              <w:pStyle w:val="35"/>
              <w:jc w:val="center"/>
              <w:rPr>
                <w:b/>
                <w:bCs/>
              </w:rPr>
            </w:pPr>
            <w:r>
              <w:rPr>
                <w:rFonts w:hint="eastAsia"/>
                <w:b/>
                <w:bCs/>
              </w:rPr>
              <w:t>2</w:t>
            </w:r>
            <w:r>
              <w:rPr>
                <w:b/>
                <w:bCs/>
              </w:rPr>
              <w:t>025</w:t>
            </w:r>
          </w:p>
        </w:tc>
        <w:tc>
          <w:tcPr>
            <w:tcW w:w="464" w:type="pct"/>
            <w:vAlign w:val="center"/>
          </w:tcPr>
          <w:p w14:paraId="447B4F4F">
            <w:pPr>
              <w:pStyle w:val="35"/>
              <w:jc w:val="center"/>
              <w:rPr>
                <w:b/>
                <w:bCs/>
              </w:rPr>
            </w:pPr>
            <w:r>
              <w:rPr>
                <w:rFonts w:hint="eastAsia"/>
                <w:b/>
                <w:bCs/>
              </w:rPr>
              <w:t>2</w:t>
            </w:r>
            <w:r>
              <w:rPr>
                <w:b/>
                <w:bCs/>
              </w:rPr>
              <w:t>030</w:t>
            </w:r>
          </w:p>
        </w:tc>
        <w:tc>
          <w:tcPr>
            <w:tcW w:w="893" w:type="pct"/>
            <w:vAlign w:val="center"/>
          </w:tcPr>
          <w:p w14:paraId="7FC9BB3C">
            <w:pPr>
              <w:pStyle w:val="35"/>
              <w:jc w:val="center"/>
              <w:rPr>
                <w:rFonts w:hint="eastAsia" w:eastAsia="宋体"/>
                <w:b/>
                <w:bCs/>
                <w:highlight w:val="none"/>
                <w:lang w:val="en-US" w:eastAsia="zh-CN"/>
              </w:rPr>
            </w:pPr>
            <w:r>
              <w:rPr>
                <w:rFonts w:hint="eastAsia"/>
                <w:b/>
                <w:bCs/>
                <w:highlight w:val="none"/>
                <w:lang w:val="en-US" w:eastAsia="zh-CN"/>
              </w:rPr>
              <w:t>责任部门</w:t>
            </w:r>
          </w:p>
        </w:tc>
      </w:tr>
      <w:tr w14:paraId="0CCFD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 w:type="pct"/>
            <w:noWrap/>
            <w:vAlign w:val="center"/>
          </w:tcPr>
          <w:p w14:paraId="3774F88B">
            <w:pPr>
              <w:pStyle w:val="35"/>
              <w:jc w:val="center"/>
            </w:pPr>
            <w:r>
              <w:rPr>
                <w:rFonts w:hint="eastAsia"/>
              </w:rPr>
              <w:t>1</w:t>
            </w:r>
          </w:p>
        </w:tc>
        <w:tc>
          <w:tcPr>
            <w:tcW w:w="823" w:type="pct"/>
            <w:vMerge w:val="restart"/>
            <w:noWrap/>
            <w:vAlign w:val="center"/>
          </w:tcPr>
          <w:p w14:paraId="279A3BC7">
            <w:pPr>
              <w:pStyle w:val="35"/>
              <w:jc w:val="center"/>
            </w:pPr>
            <w:r>
              <w:rPr>
                <w:rFonts w:hint="eastAsia"/>
              </w:rPr>
              <w:t>绿色低碳发展指标</w:t>
            </w:r>
          </w:p>
        </w:tc>
        <w:tc>
          <w:tcPr>
            <w:tcW w:w="1185" w:type="pct"/>
            <w:noWrap/>
            <w:vAlign w:val="center"/>
          </w:tcPr>
          <w:p w14:paraId="216E23D7">
            <w:pPr>
              <w:pStyle w:val="35"/>
              <w:jc w:val="center"/>
            </w:pPr>
            <w:r>
              <w:rPr>
                <w:rFonts w:hint="eastAsia"/>
                <w:lang w:val="en-US" w:eastAsia="zh-CN"/>
              </w:rPr>
              <w:t>规模以上</w:t>
            </w:r>
            <w:r>
              <w:rPr>
                <w:rFonts w:hint="eastAsia"/>
              </w:rPr>
              <w:t>工业增加值平均增长率</w:t>
            </w:r>
            <w:r>
              <w:rPr>
                <w:rStyle w:val="26"/>
                <w:rFonts w:hint="eastAsia"/>
              </w:rPr>
              <w:footnoteReference w:id="3"/>
            </w:r>
          </w:p>
        </w:tc>
        <w:tc>
          <w:tcPr>
            <w:tcW w:w="496" w:type="pct"/>
            <w:noWrap/>
            <w:vAlign w:val="center"/>
          </w:tcPr>
          <w:p w14:paraId="61C4A083">
            <w:pPr>
              <w:pStyle w:val="35"/>
              <w:jc w:val="center"/>
            </w:pPr>
            <w:r>
              <w:rPr>
                <w:rFonts w:hint="eastAsia"/>
              </w:rPr>
              <w:t>%</w:t>
            </w:r>
          </w:p>
        </w:tc>
        <w:tc>
          <w:tcPr>
            <w:tcW w:w="464" w:type="pct"/>
            <w:vAlign w:val="center"/>
          </w:tcPr>
          <w:p w14:paraId="57F7BD92">
            <w:pPr>
              <w:pStyle w:val="35"/>
              <w:ind w:firstLine="0" w:firstLineChars="0"/>
              <w:jc w:val="center"/>
            </w:pPr>
            <w:r>
              <w:rPr>
                <w:rFonts w:hint="eastAsia"/>
                <w:lang w:val="en-US" w:eastAsia="zh-CN"/>
              </w:rPr>
              <w:t>-15.43</w:t>
            </w:r>
          </w:p>
        </w:tc>
        <w:tc>
          <w:tcPr>
            <w:tcW w:w="464" w:type="pct"/>
            <w:vAlign w:val="center"/>
          </w:tcPr>
          <w:p w14:paraId="1B19808C">
            <w:pPr>
              <w:pStyle w:val="35"/>
              <w:ind w:firstLine="0" w:firstLineChars="0"/>
              <w:jc w:val="center"/>
              <w:rPr>
                <w:highlight w:val="yellow"/>
              </w:rPr>
            </w:pPr>
            <w:r>
              <w:rPr>
                <w:rFonts w:hint="eastAsia"/>
                <w:highlight w:val="none"/>
                <w:lang w:val="en-US" w:eastAsia="zh-CN"/>
              </w:rPr>
              <w:t>6</w:t>
            </w:r>
          </w:p>
        </w:tc>
        <w:tc>
          <w:tcPr>
            <w:tcW w:w="464" w:type="pct"/>
            <w:vAlign w:val="center"/>
          </w:tcPr>
          <w:p w14:paraId="48042F71">
            <w:pPr>
              <w:pStyle w:val="35"/>
              <w:ind w:firstLine="0" w:firstLineChars="0"/>
              <w:jc w:val="center"/>
              <w:rPr>
                <w:highlight w:val="yellow"/>
              </w:rPr>
            </w:pPr>
            <w:r>
              <w:rPr>
                <w:rFonts w:hint="eastAsia"/>
                <w:highlight w:val="none"/>
                <w:lang w:val="en-US" w:eastAsia="zh-CN"/>
              </w:rPr>
              <w:t>5.5</w:t>
            </w:r>
          </w:p>
        </w:tc>
        <w:tc>
          <w:tcPr>
            <w:tcW w:w="893" w:type="pct"/>
            <w:vMerge w:val="restart"/>
            <w:vAlign w:val="center"/>
          </w:tcPr>
          <w:p w14:paraId="2E97C640">
            <w:pPr>
              <w:pStyle w:val="35"/>
              <w:ind w:firstLine="0" w:firstLineChars="0"/>
              <w:jc w:val="center"/>
              <w:rPr>
                <w:rFonts w:hint="eastAsia"/>
                <w:highlight w:val="none"/>
                <w:lang w:val="en-US" w:eastAsia="zh-CN"/>
              </w:rPr>
            </w:pPr>
            <w:r>
              <w:rPr>
                <w:rFonts w:hint="eastAsia"/>
                <w:highlight w:val="none"/>
                <w:lang w:val="en-US" w:eastAsia="zh-CN"/>
              </w:rPr>
              <w:t>经济发展局</w:t>
            </w:r>
          </w:p>
        </w:tc>
      </w:tr>
      <w:tr w14:paraId="6D633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 w:type="pct"/>
            <w:noWrap/>
            <w:vAlign w:val="center"/>
          </w:tcPr>
          <w:p w14:paraId="2401162B">
            <w:pPr>
              <w:pStyle w:val="35"/>
              <w:jc w:val="center"/>
            </w:pPr>
            <w:r>
              <w:rPr>
                <w:rFonts w:hint="eastAsia"/>
              </w:rPr>
              <w:t>2</w:t>
            </w:r>
          </w:p>
        </w:tc>
        <w:tc>
          <w:tcPr>
            <w:tcW w:w="823" w:type="pct"/>
            <w:vMerge w:val="continue"/>
            <w:vAlign w:val="center"/>
          </w:tcPr>
          <w:p w14:paraId="7547C4DE">
            <w:pPr>
              <w:pStyle w:val="35"/>
              <w:jc w:val="center"/>
            </w:pPr>
          </w:p>
        </w:tc>
        <w:tc>
          <w:tcPr>
            <w:tcW w:w="1185" w:type="pct"/>
            <w:noWrap/>
            <w:vAlign w:val="center"/>
          </w:tcPr>
          <w:p w14:paraId="0288EA9B">
            <w:pPr>
              <w:pStyle w:val="35"/>
              <w:jc w:val="center"/>
            </w:pPr>
            <w:r>
              <w:rPr>
                <w:rFonts w:hint="eastAsia"/>
                <w:lang w:val="en-US" w:eastAsia="zh-CN"/>
              </w:rPr>
              <w:t>规模以上</w:t>
            </w:r>
            <w:r>
              <w:rPr>
                <w:rFonts w:hint="eastAsia"/>
              </w:rPr>
              <w:t>单位工业增加值综合能耗</w:t>
            </w:r>
          </w:p>
        </w:tc>
        <w:tc>
          <w:tcPr>
            <w:tcW w:w="496" w:type="pct"/>
            <w:noWrap/>
            <w:vAlign w:val="center"/>
          </w:tcPr>
          <w:p w14:paraId="42D0A09F">
            <w:pPr>
              <w:pStyle w:val="35"/>
              <w:jc w:val="center"/>
            </w:pPr>
            <w:r>
              <w:rPr>
                <w:rFonts w:hint="eastAsia"/>
              </w:rPr>
              <w:t>吨标准煤/万元</w:t>
            </w:r>
          </w:p>
        </w:tc>
        <w:tc>
          <w:tcPr>
            <w:tcW w:w="464" w:type="pct"/>
            <w:vAlign w:val="center"/>
          </w:tcPr>
          <w:p w14:paraId="3C885C4D">
            <w:pPr>
              <w:pStyle w:val="35"/>
              <w:ind w:firstLine="0" w:firstLineChars="0"/>
              <w:jc w:val="center"/>
              <w:rPr>
                <w:rFonts w:hint="default" w:eastAsia="宋体"/>
                <w:lang w:val="en-US" w:eastAsia="zh-CN"/>
              </w:rPr>
            </w:pPr>
            <w:r>
              <w:rPr>
                <w:rFonts w:hint="eastAsia"/>
                <w:lang w:val="en-US" w:eastAsia="zh-CN"/>
              </w:rPr>
              <w:t>5.06</w:t>
            </w:r>
          </w:p>
        </w:tc>
        <w:tc>
          <w:tcPr>
            <w:tcW w:w="464" w:type="pct"/>
            <w:vAlign w:val="center"/>
          </w:tcPr>
          <w:p w14:paraId="6A5171A6">
            <w:pPr>
              <w:pStyle w:val="35"/>
              <w:ind w:firstLine="0" w:firstLineChars="0"/>
              <w:jc w:val="center"/>
              <w:rPr>
                <w:rFonts w:hint="default" w:eastAsia="宋体"/>
                <w:highlight w:val="none"/>
                <w:lang w:val="en-US" w:eastAsia="zh-CN"/>
              </w:rPr>
            </w:pPr>
            <w:r>
              <w:rPr>
                <w:rFonts w:hint="eastAsia"/>
                <w:highlight w:val="none"/>
                <w:lang w:val="en-US" w:eastAsia="zh-CN"/>
              </w:rPr>
              <w:t>4.94</w:t>
            </w:r>
          </w:p>
        </w:tc>
        <w:tc>
          <w:tcPr>
            <w:tcW w:w="464" w:type="pct"/>
            <w:vAlign w:val="center"/>
          </w:tcPr>
          <w:p w14:paraId="28A37FC6">
            <w:pPr>
              <w:pStyle w:val="35"/>
              <w:ind w:firstLine="0" w:firstLineChars="0"/>
              <w:jc w:val="center"/>
              <w:rPr>
                <w:rFonts w:hint="default" w:eastAsia="宋体"/>
                <w:highlight w:val="none"/>
                <w:lang w:val="en-US" w:eastAsia="zh-CN"/>
              </w:rPr>
            </w:pPr>
            <w:r>
              <w:rPr>
                <w:rFonts w:hint="eastAsia"/>
                <w:highlight w:val="none"/>
                <w:lang w:val="en-US" w:eastAsia="zh-CN"/>
              </w:rPr>
              <w:t>4.35</w:t>
            </w:r>
          </w:p>
        </w:tc>
        <w:tc>
          <w:tcPr>
            <w:tcW w:w="893" w:type="pct"/>
            <w:vMerge w:val="continue"/>
            <w:vAlign w:val="center"/>
          </w:tcPr>
          <w:p w14:paraId="5F9728A5">
            <w:pPr>
              <w:pStyle w:val="35"/>
              <w:ind w:firstLine="0" w:firstLineChars="0"/>
              <w:jc w:val="center"/>
              <w:rPr>
                <w:rFonts w:hint="eastAsia"/>
                <w:highlight w:val="none"/>
                <w:lang w:val="en-US" w:eastAsia="zh-CN"/>
              </w:rPr>
            </w:pPr>
          </w:p>
        </w:tc>
      </w:tr>
      <w:tr w14:paraId="589BA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 w:type="pct"/>
            <w:noWrap/>
            <w:vAlign w:val="center"/>
          </w:tcPr>
          <w:p w14:paraId="6ED1D5D9">
            <w:pPr>
              <w:pStyle w:val="35"/>
              <w:jc w:val="center"/>
            </w:pPr>
            <w:r>
              <w:rPr>
                <w:rFonts w:hint="eastAsia"/>
              </w:rPr>
              <w:t>3</w:t>
            </w:r>
          </w:p>
        </w:tc>
        <w:tc>
          <w:tcPr>
            <w:tcW w:w="823" w:type="pct"/>
            <w:vMerge w:val="continue"/>
            <w:vAlign w:val="center"/>
          </w:tcPr>
          <w:p w14:paraId="71E78ED0">
            <w:pPr>
              <w:pStyle w:val="35"/>
              <w:jc w:val="center"/>
            </w:pPr>
          </w:p>
        </w:tc>
        <w:tc>
          <w:tcPr>
            <w:tcW w:w="1185" w:type="pct"/>
            <w:noWrap/>
            <w:vAlign w:val="center"/>
          </w:tcPr>
          <w:p w14:paraId="1B02B414">
            <w:pPr>
              <w:pStyle w:val="35"/>
              <w:jc w:val="center"/>
            </w:pPr>
            <w:r>
              <w:rPr>
                <w:rFonts w:hint="eastAsia"/>
                <w:lang w:val="en-US" w:eastAsia="zh-CN"/>
              </w:rPr>
              <w:t>规模以上</w:t>
            </w:r>
            <w:r>
              <w:rPr>
                <w:rFonts w:hint="eastAsia"/>
              </w:rPr>
              <w:t>单位工业增加值二氧化碳排放量</w:t>
            </w:r>
          </w:p>
        </w:tc>
        <w:tc>
          <w:tcPr>
            <w:tcW w:w="496" w:type="pct"/>
            <w:noWrap/>
            <w:vAlign w:val="center"/>
          </w:tcPr>
          <w:p w14:paraId="11CD58C1">
            <w:pPr>
              <w:pStyle w:val="35"/>
              <w:jc w:val="center"/>
            </w:pPr>
            <w:r>
              <w:rPr>
                <w:rFonts w:hint="eastAsia"/>
              </w:rPr>
              <w:t>吨/万元</w:t>
            </w:r>
          </w:p>
        </w:tc>
        <w:tc>
          <w:tcPr>
            <w:tcW w:w="464" w:type="pct"/>
            <w:vAlign w:val="center"/>
          </w:tcPr>
          <w:p w14:paraId="6F2BA9AA">
            <w:pPr>
              <w:pStyle w:val="35"/>
              <w:ind w:firstLine="0" w:firstLineChars="0"/>
              <w:jc w:val="center"/>
              <w:rPr>
                <w:rFonts w:hint="default" w:eastAsia="宋体"/>
                <w:highlight w:val="yellow"/>
                <w:lang w:val="en-US" w:eastAsia="zh-CN"/>
              </w:rPr>
            </w:pPr>
            <w:r>
              <w:rPr>
                <w:rFonts w:hint="eastAsia"/>
                <w:lang w:val="en-US" w:eastAsia="zh-CN"/>
              </w:rPr>
              <w:t>14.98</w:t>
            </w:r>
          </w:p>
        </w:tc>
        <w:tc>
          <w:tcPr>
            <w:tcW w:w="464" w:type="pct"/>
            <w:vAlign w:val="center"/>
          </w:tcPr>
          <w:p w14:paraId="1F9F7D63">
            <w:pPr>
              <w:pStyle w:val="35"/>
              <w:ind w:firstLine="0" w:firstLineChars="0"/>
              <w:jc w:val="center"/>
              <w:rPr>
                <w:rFonts w:hint="default" w:eastAsia="宋体"/>
                <w:highlight w:val="none"/>
                <w:lang w:val="en-US" w:eastAsia="zh-CN"/>
              </w:rPr>
            </w:pPr>
            <w:r>
              <w:rPr>
                <w:rFonts w:hint="eastAsia"/>
                <w:highlight w:val="none"/>
                <w:lang w:val="en-US" w:eastAsia="zh-CN"/>
              </w:rPr>
              <w:t>14.53</w:t>
            </w:r>
          </w:p>
        </w:tc>
        <w:tc>
          <w:tcPr>
            <w:tcW w:w="464" w:type="pct"/>
            <w:vAlign w:val="center"/>
          </w:tcPr>
          <w:p w14:paraId="72579598">
            <w:pPr>
              <w:pStyle w:val="35"/>
              <w:ind w:firstLine="0" w:firstLineChars="0"/>
              <w:jc w:val="center"/>
              <w:rPr>
                <w:rFonts w:hint="default" w:eastAsia="宋体"/>
                <w:highlight w:val="none"/>
                <w:lang w:val="en-US" w:eastAsia="zh-CN"/>
              </w:rPr>
            </w:pPr>
            <w:r>
              <w:rPr>
                <w:rFonts w:hint="eastAsia"/>
                <w:highlight w:val="none"/>
                <w:lang w:val="en-US" w:eastAsia="zh-CN"/>
              </w:rPr>
              <w:t>12.48</w:t>
            </w:r>
          </w:p>
        </w:tc>
        <w:tc>
          <w:tcPr>
            <w:tcW w:w="893" w:type="pct"/>
            <w:vMerge w:val="continue"/>
            <w:vAlign w:val="center"/>
          </w:tcPr>
          <w:p w14:paraId="0B1000B1">
            <w:pPr>
              <w:pStyle w:val="35"/>
              <w:ind w:firstLine="0" w:firstLineChars="0"/>
              <w:jc w:val="center"/>
              <w:rPr>
                <w:rFonts w:hint="eastAsia"/>
                <w:highlight w:val="none"/>
                <w:lang w:val="en-US" w:eastAsia="zh-CN"/>
              </w:rPr>
            </w:pPr>
          </w:p>
        </w:tc>
      </w:tr>
      <w:tr w14:paraId="3545A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 w:type="pct"/>
            <w:noWrap/>
            <w:vAlign w:val="center"/>
          </w:tcPr>
          <w:p w14:paraId="1ABD4557">
            <w:pPr>
              <w:pStyle w:val="35"/>
              <w:jc w:val="center"/>
            </w:pPr>
            <w:r>
              <w:rPr>
                <w:rFonts w:hint="eastAsia"/>
              </w:rPr>
              <w:t>4</w:t>
            </w:r>
          </w:p>
        </w:tc>
        <w:tc>
          <w:tcPr>
            <w:tcW w:w="823" w:type="pct"/>
            <w:vMerge w:val="restart"/>
            <w:noWrap/>
            <w:vAlign w:val="center"/>
          </w:tcPr>
          <w:p w14:paraId="4C5A24E8">
            <w:pPr>
              <w:pStyle w:val="35"/>
              <w:jc w:val="center"/>
            </w:pPr>
            <w:r>
              <w:rPr>
                <w:rFonts w:hint="eastAsia"/>
              </w:rPr>
              <w:t>能源绿色低碳转型指标</w:t>
            </w:r>
          </w:p>
        </w:tc>
        <w:tc>
          <w:tcPr>
            <w:tcW w:w="1185" w:type="pct"/>
            <w:shd w:val="clear" w:color="auto" w:fill="auto"/>
            <w:noWrap/>
            <w:vAlign w:val="center"/>
          </w:tcPr>
          <w:p w14:paraId="0034563A">
            <w:pPr>
              <w:pStyle w:val="35"/>
              <w:jc w:val="center"/>
              <w:rPr>
                <w:highlight w:val="none"/>
              </w:rPr>
            </w:pPr>
            <w:r>
              <w:rPr>
                <w:rFonts w:hint="eastAsia"/>
                <w:highlight w:val="none"/>
              </w:rPr>
              <w:t>可再生能源使用比例</w:t>
            </w:r>
          </w:p>
        </w:tc>
        <w:tc>
          <w:tcPr>
            <w:tcW w:w="496" w:type="pct"/>
            <w:noWrap/>
            <w:vAlign w:val="center"/>
          </w:tcPr>
          <w:p w14:paraId="4C1766E7">
            <w:pPr>
              <w:pStyle w:val="35"/>
              <w:jc w:val="center"/>
            </w:pPr>
            <w:r>
              <w:rPr>
                <w:rFonts w:hint="eastAsia"/>
              </w:rPr>
              <w:t>%</w:t>
            </w:r>
          </w:p>
        </w:tc>
        <w:tc>
          <w:tcPr>
            <w:tcW w:w="464" w:type="pct"/>
            <w:vAlign w:val="center"/>
          </w:tcPr>
          <w:p w14:paraId="023F6F26">
            <w:pPr>
              <w:pStyle w:val="35"/>
              <w:jc w:val="center"/>
              <w:rPr>
                <w:rFonts w:hint="default" w:eastAsia="宋体"/>
                <w:lang w:val="en-US" w:eastAsia="zh-CN"/>
              </w:rPr>
            </w:pPr>
            <w:r>
              <w:rPr>
                <w:rFonts w:hint="eastAsia"/>
                <w:lang w:val="en-US" w:eastAsia="zh-CN"/>
              </w:rPr>
              <w:t>9.02</w:t>
            </w:r>
          </w:p>
        </w:tc>
        <w:tc>
          <w:tcPr>
            <w:tcW w:w="464" w:type="pct"/>
            <w:vAlign w:val="center"/>
          </w:tcPr>
          <w:p w14:paraId="0CB81CB4">
            <w:pPr>
              <w:pStyle w:val="35"/>
              <w:jc w:val="center"/>
              <w:rPr>
                <w:rFonts w:hint="default" w:eastAsia="宋体"/>
                <w:lang w:val="en-US" w:eastAsia="zh-CN"/>
              </w:rPr>
            </w:pPr>
            <w:r>
              <w:rPr>
                <w:rFonts w:hint="eastAsia"/>
                <w:lang w:val="en-US" w:eastAsia="zh-CN"/>
              </w:rPr>
              <w:t>9.20</w:t>
            </w:r>
          </w:p>
        </w:tc>
        <w:tc>
          <w:tcPr>
            <w:tcW w:w="464" w:type="pct"/>
            <w:vAlign w:val="center"/>
          </w:tcPr>
          <w:p w14:paraId="396EB052">
            <w:pPr>
              <w:pStyle w:val="35"/>
              <w:jc w:val="center"/>
              <w:rPr>
                <w:rFonts w:hint="default" w:eastAsia="宋体"/>
                <w:lang w:val="en-US" w:eastAsia="zh-CN"/>
              </w:rPr>
            </w:pPr>
            <w:r>
              <w:rPr>
                <w:rFonts w:hint="eastAsia"/>
                <w:lang w:val="en-US" w:eastAsia="zh-CN"/>
              </w:rPr>
              <w:t>10</w:t>
            </w:r>
          </w:p>
        </w:tc>
        <w:tc>
          <w:tcPr>
            <w:tcW w:w="893" w:type="pct"/>
            <w:vMerge w:val="restart"/>
            <w:vAlign w:val="center"/>
          </w:tcPr>
          <w:p w14:paraId="790D3BB7">
            <w:pPr>
              <w:pStyle w:val="35"/>
              <w:jc w:val="center"/>
              <w:rPr>
                <w:rFonts w:hint="eastAsia"/>
                <w:highlight w:val="none"/>
                <w:lang w:val="en-US" w:eastAsia="zh-CN"/>
              </w:rPr>
            </w:pPr>
            <w:r>
              <w:rPr>
                <w:rFonts w:hint="eastAsia"/>
                <w:highlight w:val="none"/>
                <w:lang w:val="en-US" w:eastAsia="zh-CN"/>
              </w:rPr>
              <w:t>经济发展局、投资促进局、规划建设局、十户滩新材料工业园区管理办公室</w:t>
            </w:r>
          </w:p>
        </w:tc>
      </w:tr>
      <w:tr w14:paraId="347F7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 w:type="pct"/>
            <w:noWrap/>
            <w:vAlign w:val="center"/>
          </w:tcPr>
          <w:p w14:paraId="3EAFE922">
            <w:pPr>
              <w:pStyle w:val="35"/>
              <w:jc w:val="center"/>
            </w:pPr>
            <w:r>
              <w:rPr>
                <w:rFonts w:hint="eastAsia"/>
              </w:rPr>
              <w:t>5</w:t>
            </w:r>
          </w:p>
        </w:tc>
        <w:tc>
          <w:tcPr>
            <w:tcW w:w="823" w:type="pct"/>
            <w:vMerge w:val="continue"/>
            <w:vAlign w:val="center"/>
          </w:tcPr>
          <w:p w14:paraId="4067C0FB">
            <w:pPr>
              <w:pStyle w:val="35"/>
              <w:jc w:val="center"/>
            </w:pPr>
          </w:p>
        </w:tc>
        <w:tc>
          <w:tcPr>
            <w:tcW w:w="1185" w:type="pct"/>
            <w:shd w:val="clear" w:color="auto" w:fill="auto"/>
            <w:noWrap/>
            <w:vAlign w:val="center"/>
          </w:tcPr>
          <w:p w14:paraId="38D6CEF0">
            <w:pPr>
              <w:pStyle w:val="35"/>
              <w:jc w:val="center"/>
            </w:pPr>
            <w:r>
              <w:rPr>
                <w:rFonts w:hint="eastAsia"/>
              </w:rPr>
              <w:t>累计可再生能源装机容量</w:t>
            </w:r>
          </w:p>
        </w:tc>
        <w:tc>
          <w:tcPr>
            <w:tcW w:w="496" w:type="pct"/>
            <w:noWrap/>
            <w:vAlign w:val="center"/>
          </w:tcPr>
          <w:p w14:paraId="66B95E88">
            <w:pPr>
              <w:pStyle w:val="35"/>
              <w:jc w:val="center"/>
            </w:pPr>
            <w:r>
              <w:rPr>
                <w:rFonts w:hint="eastAsia"/>
              </w:rPr>
              <w:t>万千瓦</w:t>
            </w:r>
          </w:p>
        </w:tc>
        <w:tc>
          <w:tcPr>
            <w:tcW w:w="464" w:type="pct"/>
            <w:vAlign w:val="center"/>
          </w:tcPr>
          <w:p w14:paraId="71AC23F7">
            <w:pPr>
              <w:pStyle w:val="35"/>
              <w:jc w:val="center"/>
              <w:rPr>
                <w:rFonts w:hint="default" w:eastAsia="宋体"/>
                <w:highlight w:val="none"/>
                <w:lang w:val="en-US" w:eastAsia="zh-CN"/>
              </w:rPr>
            </w:pPr>
            <w:r>
              <w:rPr>
                <w:rFonts w:hint="eastAsia"/>
                <w:highlight w:val="none"/>
              </w:rPr>
              <w:t>225</w:t>
            </w:r>
          </w:p>
        </w:tc>
        <w:tc>
          <w:tcPr>
            <w:tcW w:w="464" w:type="pct"/>
            <w:vAlign w:val="center"/>
          </w:tcPr>
          <w:p w14:paraId="1306D3B9">
            <w:pPr>
              <w:pStyle w:val="35"/>
              <w:jc w:val="center"/>
              <w:rPr>
                <w:rFonts w:hint="default" w:eastAsia="宋体"/>
                <w:highlight w:val="none"/>
                <w:lang w:val="en-US" w:eastAsia="zh-CN"/>
              </w:rPr>
            </w:pPr>
            <w:r>
              <w:rPr>
                <w:rFonts w:hint="eastAsia"/>
                <w:highlight w:val="none"/>
                <w:lang w:val="en-US" w:eastAsia="zh-CN"/>
              </w:rPr>
              <w:t>230</w:t>
            </w:r>
          </w:p>
        </w:tc>
        <w:tc>
          <w:tcPr>
            <w:tcW w:w="464" w:type="pct"/>
            <w:vAlign w:val="center"/>
          </w:tcPr>
          <w:p w14:paraId="3B309C5A">
            <w:pPr>
              <w:pStyle w:val="35"/>
              <w:jc w:val="center"/>
              <w:rPr>
                <w:rFonts w:hint="default" w:eastAsia="宋体"/>
                <w:highlight w:val="none"/>
                <w:lang w:val="en-US" w:eastAsia="zh-CN"/>
              </w:rPr>
            </w:pPr>
            <w:r>
              <w:rPr>
                <w:rFonts w:hint="eastAsia"/>
                <w:highlight w:val="none"/>
                <w:lang w:val="en-US" w:eastAsia="zh-CN"/>
              </w:rPr>
              <w:t>260</w:t>
            </w:r>
          </w:p>
        </w:tc>
        <w:tc>
          <w:tcPr>
            <w:tcW w:w="893" w:type="pct"/>
            <w:vMerge w:val="continue"/>
            <w:vAlign w:val="center"/>
          </w:tcPr>
          <w:p w14:paraId="124F7825">
            <w:pPr>
              <w:pStyle w:val="35"/>
              <w:jc w:val="center"/>
              <w:rPr>
                <w:rFonts w:hint="eastAsia"/>
                <w:highlight w:val="none"/>
                <w:lang w:val="en-US" w:eastAsia="zh-CN"/>
              </w:rPr>
            </w:pPr>
          </w:p>
        </w:tc>
      </w:tr>
      <w:tr w14:paraId="70353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 w:type="pct"/>
            <w:noWrap/>
            <w:vAlign w:val="center"/>
          </w:tcPr>
          <w:p w14:paraId="4AB13C3B">
            <w:pPr>
              <w:pStyle w:val="35"/>
              <w:jc w:val="center"/>
            </w:pPr>
            <w:r>
              <w:rPr>
                <w:rFonts w:hint="eastAsia"/>
              </w:rPr>
              <w:t>6</w:t>
            </w:r>
          </w:p>
        </w:tc>
        <w:tc>
          <w:tcPr>
            <w:tcW w:w="823" w:type="pct"/>
            <w:vMerge w:val="continue"/>
            <w:vAlign w:val="center"/>
          </w:tcPr>
          <w:p w14:paraId="71614F13">
            <w:pPr>
              <w:pStyle w:val="35"/>
              <w:jc w:val="center"/>
            </w:pPr>
          </w:p>
        </w:tc>
        <w:tc>
          <w:tcPr>
            <w:tcW w:w="1185" w:type="pct"/>
            <w:shd w:val="clear" w:color="auto" w:fill="auto"/>
            <w:noWrap/>
            <w:vAlign w:val="center"/>
          </w:tcPr>
          <w:p w14:paraId="5F80A66F">
            <w:pPr>
              <w:pStyle w:val="35"/>
              <w:jc w:val="center"/>
              <w:rPr>
                <w:highlight w:val="none"/>
              </w:rPr>
            </w:pPr>
            <w:r>
              <w:rPr>
                <w:rFonts w:hint="eastAsia"/>
                <w:highlight w:val="none"/>
              </w:rPr>
              <w:t>工业余热回收利用率</w:t>
            </w:r>
          </w:p>
        </w:tc>
        <w:tc>
          <w:tcPr>
            <w:tcW w:w="496" w:type="pct"/>
            <w:noWrap/>
            <w:vAlign w:val="center"/>
          </w:tcPr>
          <w:p w14:paraId="376EB4D3">
            <w:pPr>
              <w:pStyle w:val="35"/>
              <w:jc w:val="center"/>
              <w:rPr>
                <w:rFonts w:hint="eastAsia" w:eastAsia="宋体"/>
                <w:lang w:val="en-US" w:eastAsia="zh-CN"/>
              </w:rPr>
            </w:pPr>
            <w:r>
              <w:rPr>
                <w:rFonts w:hint="eastAsia"/>
                <w:lang w:val="en-US" w:eastAsia="zh-CN"/>
              </w:rPr>
              <w:t>%</w:t>
            </w:r>
          </w:p>
        </w:tc>
        <w:tc>
          <w:tcPr>
            <w:tcW w:w="464" w:type="pct"/>
            <w:vAlign w:val="center"/>
          </w:tcPr>
          <w:p w14:paraId="4F97C7B8">
            <w:pPr>
              <w:pStyle w:val="35"/>
              <w:jc w:val="center"/>
              <w:rPr>
                <w:rFonts w:hint="default" w:eastAsia="宋体"/>
                <w:lang w:val="en-US" w:eastAsia="zh-CN"/>
              </w:rPr>
            </w:pPr>
            <w:r>
              <w:rPr>
                <w:rFonts w:hint="eastAsia"/>
                <w:lang w:val="en-US" w:eastAsia="zh-CN"/>
              </w:rPr>
              <w:t>79</w:t>
            </w:r>
          </w:p>
        </w:tc>
        <w:tc>
          <w:tcPr>
            <w:tcW w:w="464" w:type="pct"/>
            <w:vAlign w:val="center"/>
          </w:tcPr>
          <w:p w14:paraId="095E6F15">
            <w:pPr>
              <w:pStyle w:val="35"/>
              <w:jc w:val="center"/>
              <w:rPr>
                <w:rFonts w:hint="default" w:eastAsia="宋体"/>
                <w:lang w:val="en-US" w:eastAsia="zh-CN"/>
              </w:rPr>
            </w:pPr>
            <w:r>
              <w:rPr>
                <w:rFonts w:hint="eastAsia"/>
                <w:lang w:val="en-US" w:eastAsia="zh-CN"/>
              </w:rPr>
              <w:t>80</w:t>
            </w:r>
          </w:p>
        </w:tc>
        <w:tc>
          <w:tcPr>
            <w:tcW w:w="464" w:type="pct"/>
            <w:vAlign w:val="center"/>
          </w:tcPr>
          <w:p w14:paraId="74B0D003">
            <w:pPr>
              <w:pStyle w:val="35"/>
              <w:jc w:val="center"/>
              <w:rPr>
                <w:rFonts w:hint="default" w:eastAsia="宋体"/>
                <w:lang w:val="en-US" w:eastAsia="zh-CN"/>
              </w:rPr>
            </w:pPr>
            <w:r>
              <w:rPr>
                <w:rFonts w:hint="eastAsia"/>
                <w:lang w:val="en-US" w:eastAsia="zh-CN"/>
              </w:rPr>
              <w:t>85</w:t>
            </w:r>
          </w:p>
        </w:tc>
        <w:tc>
          <w:tcPr>
            <w:tcW w:w="893" w:type="pct"/>
            <w:vMerge w:val="continue"/>
            <w:vAlign w:val="center"/>
          </w:tcPr>
          <w:p w14:paraId="24C4C598">
            <w:pPr>
              <w:pStyle w:val="35"/>
              <w:jc w:val="center"/>
              <w:rPr>
                <w:rFonts w:hint="eastAsia"/>
                <w:highlight w:val="none"/>
                <w:lang w:val="en-US" w:eastAsia="zh-CN"/>
              </w:rPr>
            </w:pPr>
          </w:p>
        </w:tc>
      </w:tr>
      <w:tr w14:paraId="782D7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 w:type="pct"/>
            <w:noWrap/>
            <w:vAlign w:val="center"/>
          </w:tcPr>
          <w:p w14:paraId="35CFB47F">
            <w:pPr>
              <w:pStyle w:val="35"/>
              <w:jc w:val="center"/>
            </w:pPr>
            <w:r>
              <w:rPr>
                <w:rFonts w:hint="eastAsia"/>
              </w:rPr>
              <w:t>7</w:t>
            </w:r>
          </w:p>
        </w:tc>
        <w:tc>
          <w:tcPr>
            <w:tcW w:w="823" w:type="pct"/>
            <w:noWrap/>
            <w:vAlign w:val="center"/>
          </w:tcPr>
          <w:p w14:paraId="30494C7E">
            <w:pPr>
              <w:pStyle w:val="35"/>
              <w:jc w:val="center"/>
            </w:pPr>
            <w:r>
              <w:rPr>
                <w:rFonts w:hint="eastAsia"/>
              </w:rPr>
              <w:t>建筑领域绿色发展指标</w:t>
            </w:r>
          </w:p>
        </w:tc>
        <w:tc>
          <w:tcPr>
            <w:tcW w:w="1185" w:type="pct"/>
            <w:noWrap/>
            <w:vAlign w:val="center"/>
          </w:tcPr>
          <w:p w14:paraId="0ACE8500">
            <w:pPr>
              <w:pStyle w:val="35"/>
              <w:jc w:val="center"/>
            </w:pPr>
            <w:r>
              <w:rPr>
                <w:rFonts w:hint="eastAsia"/>
              </w:rPr>
              <w:t>新建建筑中星级绿色建筑占比</w:t>
            </w:r>
          </w:p>
        </w:tc>
        <w:tc>
          <w:tcPr>
            <w:tcW w:w="496" w:type="pct"/>
            <w:noWrap/>
            <w:vAlign w:val="center"/>
          </w:tcPr>
          <w:p w14:paraId="4307BC03">
            <w:pPr>
              <w:pStyle w:val="35"/>
              <w:jc w:val="center"/>
            </w:pPr>
            <w:r>
              <w:rPr>
                <w:rFonts w:hint="eastAsia"/>
              </w:rPr>
              <w:t>%</w:t>
            </w:r>
          </w:p>
        </w:tc>
        <w:tc>
          <w:tcPr>
            <w:tcW w:w="464" w:type="pct"/>
            <w:vAlign w:val="center"/>
          </w:tcPr>
          <w:p w14:paraId="0945DDA7">
            <w:pPr>
              <w:pStyle w:val="35"/>
              <w:jc w:val="center"/>
              <w:rPr>
                <w:rFonts w:hint="default" w:eastAsia="宋体"/>
                <w:lang w:val="en-US" w:eastAsia="zh-CN"/>
              </w:rPr>
            </w:pPr>
            <w:r>
              <w:rPr>
                <w:rFonts w:hint="eastAsia"/>
                <w:lang w:val="en-US" w:eastAsia="zh-CN"/>
              </w:rPr>
              <w:t>100</w:t>
            </w:r>
          </w:p>
        </w:tc>
        <w:tc>
          <w:tcPr>
            <w:tcW w:w="464" w:type="pct"/>
            <w:vAlign w:val="center"/>
          </w:tcPr>
          <w:p w14:paraId="26C8307C">
            <w:pPr>
              <w:pStyle w:val="35"/>
              <w:jc w:val="center"/>
              <w:rPr>
                <w:rFonts w:hint="default" w:eastAsia="宋体"/>
                <w:lang w:val="en-US" w:eastAsia="zh-CN"/>
              </w:rPr>
            </w:pPr>
            <w:r>
              <w:rPr>
                <w:rFonts w:hint="eastAsia"/>
                <w:lang w:val="en-US" w:eastAsia="zh-CN"/>
              </w:rPr>
              <w:t>100</w:t>
            </w:r>
          </w:p>
        </w:tc>
        <w:tc>
          <w:tcPr>
            <w:tcW w:w="464" w:type="pct"/>
            <w:vAlign w:val="center"/>
          </w:tcPr>
          <w:p w14:paraId="19E23648">
            <w:pPr>
              <w:pStyle w:val="35"/>
              <w:jc w:val="center"/>
              <w:rPr>
                <w:rFonts w:hint="default" w:eastAsia="宋体"/>
                <w:lang w:val="en-US" w:eastAsia="zh-CN"/>
              </w:rPr>
            </w:pPr>
            <w:r>
              <w:rPr>
                <w:rFonts w:hint="eastAsia"/>
                <w:lang w:val="en-US" w:eastAsia="zh-CN"/>
              </w:rPr>
              <w:t>100</w:t>
            </w:r>
          </w:p>
        </w:tc>
        <w:tc>
          <w:tcPr>
            <w:tcW w:w="893" w:type="pct"/>
            <w:vAlign w:val="center"/>
          </w:tcPr>
          <w:p w14:paraId="29386984">
            <w:pPr>
              <w:pStyle w:val="35"/>
              <w:jc w:val="center"/>
              <w:rPr>
                <w:rFonts w:hint="eastAsia"/>
                <w:highlight w:val="none"/>
                <w:lang w:val="en-US" w:eastAsia="zh-CN"/>
              </w:rPr>
            </w:pPr>
            <w:r>
              <w:rPr>
                <w:rFonts w:hint="eastAsia"/>
                <w:highlight w:val="none"/>
                <w:lang w:val="en-US" w:eastAsia="zh-CN"/>
              </w:rPr>
              <w:t>经济发展局、投资促进局、规划建设局</w:t>
            </w:r>
          </w:p>
        </w:tc>
      </w:tr>
      <w:tr w14:paraId="572EE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 w:type="pct"/>
            <w:noWrap/>
            <w:vAlign w:val="center"/>
          </w:tcPr>
          <w:p w14:paraId="7C9774CA">
            <w:pPr>
              <w:pStyle w:val="35"/>
              <w:jc w:val="center"/>
            </w:pPr>
            <w:r>
              <w:rPr>
                <w:rFonts w:hint="eastAsia"/>
              </w:rPr>
              <w:t>8</w:t>
            </w:r>
          </w:p>
        </w:tc>
        <w:tc>
          <w:tcPr>
            <w:tcW w:w="823" w:type="pct"/>
            <w:vAlign w:val="center"/>
          </w:tcPr>
          <w:p w14:paraId="3AAFFDBE">
            <w:pPr>
              <w:pStyle w:val="35"/>
              <w:jc w:val="center"/>
            </w:pPr>
            <w:r>
              <w:rPr>
                <w:rFonts w:hint="eastAsia"/>
              </w:rPr>
              <w:t>交通领域绿色发展指标</w:t>
            </w:r>
          </w:p>
        </w:tc>
        <w:tc>
          <w:tcPr>
            <w:tcW w:w="1185" w:type="pct"/>
            <w:noWrap/>
            <w:vAlign w:val="center"/>
          </w:tcPr>
          <w:p w14:paraId="66FD7558">
            <w:pPr>
              <w:pStyle w:val="35"/>
              <w:jc w:val="center"/>
              <w:rPr>
                <w:rFonts w:hint="eastAsia" w:eastAsia="宋体"/>
                <w:lang w:val="en-US" w:eastAsia="zh-CN"/>
              </w:rPr>
            </w:pPr>
            <w:r>
              <w:rPr>
                <w:rFonts w:hint="eastAsia"/>
                <w:lang w:val="en-US" w:eastAsia="zh-CN"/>
              </w:rPr>
              <w:t>园区</w:t>
            </w:r>
            <w:r>
              <w:rPr>
                <w:rFonts w:hint="eastAsia"/>
              </w:rPr>
              <w:t>新能源、清洁能源动力交通工具</w:t>
            </w:r>
            <w:r>
              <w:rPr>
                <w:rFonts w:hint="eastAsia"/>
                <w:lang w:val="en-US" w:eastAsia="zh-CN"/>
              </w:rPr>
              <w:t>占比</w:t>
            </w:r>
          </w:p>
        </w:tc>
        <w:tc>
          <w:tcPr>
            <w:tcW w:w="496" w:type="pct"/>
            <w:noWrap/>
            <w:vAlign w:val="center"/>
          </w:tcPr>
          <w:p w14:paraId="308B0F82">
            <w:pPr>
              <w:pStyle w:val="35"/>
              <w:jc w:val="center"/>
              <w:rPr>
                <w:rFonts w:hint="eastAsia" w:eastAsia="宋体"/>
                <w:lang w:val="en-US" w:eastAsia="zh-CN"/>
              </w:rPr>
            </w:pPr>
            <w:r>
              <w:rPr>
                <w:rFonts w:hint="eastAsia"/>
                <w:lang w:val="en-US" w:eastAsia="zh-CN"/>
              </w:rPr>
              <w:t>%</w:t>
            </w:r>
          </w:p>
        </w:tc>
        <w:tc>
          <w:tcPr>
            <w:tcW w:w="464" w:type="pct"/>
            <w:vAlign w:val="center"/>
          </w:tcPr>
          <w:p w14:paraId="2656321C">
            <w:pPr>
              <w:pStyle w:val="35"/>
              <w:jc w:val="center"/>
              <w:rPr>
                <w:rFonts w:hint="default" w:eastAsia="宋体"/>
                <w:lang w:val="en-US" w:eastAsia="zh-CN"/>
              </w:rPr>
            </w:pPr>
            <w:r>
              <w:rPr>
                <w:rFonts w:hint="eastAsia"/>
                <w:lang w:val="en-US" w:eastAsia="zh-CN"/>
              </w:rPr>
              <w:t>100</w:t>
            </w:r>
          </w:p>
        </w:tc>
        <w:tc>
          <w:tcPr>
            <w:tcW w:w="464" w:type="pct"/>
            <w:vAlign w:val="center"/>
          </w:tcPr>
          <w:p w14:paraId="639DDD3C">
            <w:pPr>
              <w:pStyle w:val="35"/>
              <w:jc w:val="center"/>
              <w:rPr>
                <w:rFonts w:hint="default" w:eastAsia="宋体"/>
                <w:lang w:val="en-US" w:eastAsia="zh-CN"/>
              </w:rPr>
            </w:pPr>
            <w:r>
              <w:rPr>
                <w:rFonts w:hint="eastAsia"/>
                <w:lang w:val="en-US" w:eastAsia="zh-CN"/>
              </w:rPr>
              <w:t>100</w:t>
            </w:r>
          </w:p>
        </w:tc>
        <w:tc>
          <w:tcPr>
            <w:tcW w:w="464" w:type="pct"/>
            <w:vAlign w:val="center"/>
          </w:tcPr>
          <w:p w14:paraId="0456B1B9">
            <w:pPr>
              <w:pStyle w:val="35"/>
              <w:jc w:val="center"/>
              <w:rPr>
                <w:rFonts w:hint="default" w:eastAsia="宋体"/>
                <w:lang w:val="en-US" w:eastAsia="zh-CN"/>
              </w:rPr>
            </w:pPr>
            <w:r>
              <w:rPr>
                <w:rFonts w:hint="eastAsia"/>
                <w:lang w:val="en-US" w:eastAsia="zh-CN"/>
              </w:rPr>
              <w:t>100</w:t>
            </w:r>
          </w:p>
        </w:tc>
        <w:tc>
          <w:tcPr>
            <w:tcW w:w="893" w:type="pct"/>
            <w:vAlign w:val="center"/>
          </w:tcPr>
          <w:p w14:paraId="40064ADE">
            <w:pPr>
              <w:pStyle w:val="35"/>
              <w:jc w:val="center"/>
              <w:rPr>
                <w:rFonts w:hint="eastAsia"/>
                <w:highlight w:val="none"/>
                <w:lang w:val="en-US" w:eastAsia="zh-CN"/>
              </w:rPr>
            </w:pPr>
            <w:r>
              <w:rPr>
                <w:rFonts w:hint="eastAsia"/>
                <w:highlight w:val="none"/>
                <w:lang w:val="en-US" w:eastAsia="zh-CN"/>
              </w:rPr>
              <w:t>经济发展局、投资促进局、规划建设局</w:t>
            </w:r>
          </w:p>
        </w:tc>
      </w:tr>
      <w:tr w14:paraId="38886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 w:type="pct"/>
            <w:noWrap/>
            <w:vAlign w:val="center"/>
          </w:tcPr>
          <w:p w14:paraId="6B49534E">
            <w:pPr>
              <w:pStyle w:val="35"/>
              <w:jc w:val="center"/>
            </w:pPr>
            <w:r>
              <w:rPr>
                <w:rFonts w:hint="eastAsia"/>
              </w:rPr>
              <w:t>9</w:t>
            </w:r>
          </w:p>
        </w:tc>
        <w:tc>
          <w:tcPr>
            <w:tcW w:w="823" w:type="pct"/>
            <w:vMerge w:val="restart"/>
            <w:noWrap/>
            <w:vAlign w:val="center"/>
          </w:tcPr>
          <w:p w14:paraId="6281972B">
            <w:pPr>
              <w:pStyle w:val="35"/>
              <w:jc w:val="center"/>
            </w:pPr>
            <w:r>
              <w:rPr>
                <w:rFonts w:hint="eastAsia"/>
              </w:rPr>
              <w:t>循环发展指标</w:t>
            </w:r>
          </w:p>
        </w:tc>
        <w:tc>
          <w:tcPr>
            <w:tcW w:w="1185" w:type="pct"/>
            <w:noWrap/>
            <w:vAlign w:val="center"/>
          </w:tcPr>
          <w:p w14:paraId="0A4E7DB4">
            <w:pPr>
              <w:pStyle w:val="35"/>
              <w:jc w:val="center"/>
            </w:pPr>
            <w:r>
              <w:rPr>
                <w:rFonts w:hint="eastAsia"/>
              </w:rPr>
              <w:t>一般工业固体废物综合利用率</w:t>
            </w:r>
          </w:p>
        </w:tc>
        <w:tc>
          <w:tcPr>
            <w:tcW w:w="496" w:type="pct"/>
            <w:noWrap/>
            <w:vAlign w:val="center"/>
          </w:tcPr>
          <w:p w14:paraId="3C18A121">
            <w:pPr>
              <w:pStyle w:val="35"/>
              <w:jc w:val="center"/>
            </w:pPr>
            <w:r>
              <w:rPr>
                <w:rFonts w:hint="eastAsia"/>
              </w:rPr>
              <w:t>%</w:t>
            </w:r>
          </w:p>
        </w:tc>
        <w:tc>
          <w:tcPr>
            <w:tcW w:w="464" w:type="pct"/>
            <w:vAlign w:val="center"/>
          </w:tcPr>
          <w:p w14:paraId="26F84BD8">
            <w:pPr>
              <w:pStyle w:val="35"/>
              <w:jc w:val="center"/>
              <w:rPr>
                <w:rFonts w:hint="default" w:eastAsia="宋体"/>
                <w:highlight w:val="none"/>
                <w:lang w:val="en-US" w:eastAsia="zh-CN"/>
              </w:rPr>
            </w:pPr>
            <w:r>
              <w:rPr>
                <w:rFonts w:hint="eastAsia"/>
                <w:highlight w:val="none"/>
                <w:lang w:val="en-US" w:eastAsia="zh-CN"/>
              </w:rPr>
              <w:t>96.50</w:t>
            </w:r>
          </w:p>
        </w:tc>
        <w:tc>
          <w:tcPr>
            <w:tcW w:w="464" w:type="pct"/>
            <w:vAlign w:val="center"/>
          </w:tcPr>
          <w:p w14:paraId="26D69048">
            <w:pPr>
              <w:pStyle w:val="35"/>
              <w:jc w:val="center"/>
              <w:rPr>
                <w:rFonts w:hint="default" w:eastAsia="宋体"/>
                <w:highlight w:val="none"/>
                <w:lang w:val="en-US" w:eastAsia="zh-CN"/>
              </w:rPr>
            </w:pPr>
            <w:r>
              <w:rPr>
                <w:rFonts w:hint="eastAsia"/>
                <w:highlight w:val="none"/>
                <w:lang w:val="en-US" w:eastAsia="zh-CN"/>
              </w:rPr>
              <w:t>97</w:t>
            </w:r>
          </w:p>
        </w:tc>
        <w:tc>
          <w:tcPr>
            <w:tcW w:w="464" w:type="pct"/>
            <w:vAlign w:val="center"/>
          </w:tcPr>
          <w:p w14:paraId="2D27CF32">
            <w:pPr>
              <w:pStyle w:val="35"/>
              <w:jc w:val="center"/>
              <w:rPr>
                <w:rFonts w:hint="default" w:eastAsia="宋体"/>
                <w:highlight w:val="none"/>
                <w:lang w:val="en-US" w:eastAsia="zh-CN"/>
              </w:rPr>
            </w:pPr>
            <w:r>
              <w:rPr>
                <w:rFonts w:hint="eastAsia"/>
                <w:highlight w:val="none"/>
                <w:lang w:val="en-US" w:eastAsia="zh-CN"/>
              </w:rPr>
              <w:t>98</w:t>
            </w:r>
          </w:p>
        </w:tc>
        <w:tc>
          <w:tcPr>
            <w:tcW w:w="893" w:type="pct"/>
            <w:vMerge w:val="restart"/>
            <w:vAlign w:val="center"/>
          </w:tcPr>
          <w:p w14:paraId="136DBDD5">
            <w:pPr>
              <w:pStyle w:val="35"/>
              <w:jc w:val="center"/>
              <w:rPr>
                <w:rFonts w:hint="eastAsia"/>
                <w:highlight w:val="none"/>
                <w:lang w:val="en-US" w:eastAsia="zh-CN"/>
              </w:rPr>
            </w:pPr>
            <w:r>
              <w:rPr>
                <w:rFonts w:hint="eastAsia"/>
                <w:highlight w:val="none"/>
                <w:lang w:val="en-US" w:eastAsia="zh-CN"/>
              </w:rPr>
              <w:t>经济发展局、投资促进局、规划建设局、十户滩新材料工业园区管理办公室</w:t>
            </w:r>
          </w:p>
        </w:tc>
      </w:tr>
      <w:tr w14:paraId="05E10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 w:type="pct"/>
            <w:noWrap/>
            <w:vAlign w:val="center"/>
          </w:tcPr>
          <w:p w14:paraId="5D9F0070">
            <w:pPr>
              <w:pStyle w:val="35"/>
              <w:jc w:val="center"/>
            </w:pPr>
            <w:r>
              <w:t>1</w:t>
            </w:r>
            <w:r>
              <w:rPr>
                <w:rFonts w:hint="eastAsia"/>
              </w:rPr>
              <w:t>0</w:t>
            </w:r>
          </w:p>
        </w:tc>
        <w:tc>
          <w:tcPr>
            <w:tcW w:w="823" w:type="pct"/>
            <w:vMerge w:val="continue"/>
            <w:vAlign w:val="center"/>
          </w:tcPr>
          <w:p w14:paraId="6E20A263">
            <w:pPr>
              <w:pStyle w:val="35"/>
              <w:jc w:val="center"/>
            </w:pPr>
          </w:p>
        </w:tc>
        <w:tc>
          <w:tcPr>
            <w:tcW w:w="1185" w:type="pct"/>
            <w:noWrap/>
            <w:vAlign w:val="center"/>
          </w:tcPr>
          <w:p w14:paraId="0E580A66">
            <w:pPr>
              <w:pStyle w:val="35"/>
              <w:jc w:val="center"/>
            </w:pPr>
            <w:r>
              <w:rPr>
                <w:rFonts w:hint="eastAsia"/>
              </w:rPr>
              <w:t>工业用水重复利用率</w:t>
            </w:r>
          </w:p>
        </w:tc>
        <w:tc>
          <w:tcPr>
            <w:tcW w:w="496" w:type="pct"/>
            <w:noWrap/>
            <w:vAlign w:val="center"/>
          </w:tcPr>
          <w:p w14:paraId="2FB110B8">
            <w:pPr>
              <w:pStyle w:val="35"/>
              <w:jc w:val="center"/>
            </w:pPr>
            <w:r>
              <w:rPr>
                <w:rFonts w:hint="eastAsia"/>
              </w:rPr>
              <w:t>%</w:t>
            </w:r>
          </w:p>
        </w:tc>
        <w:tc>
          <w:tcPr>
            <w:tcW w:w="464" w:type="pct"/>
            <w:vAlign w:val="center"/>
          </w:tcPr>
          <w:p w14:paraId="4F24CDE0">
            <w:pPr>
              <w:pStyle w:val="35"/>
              <w:jc w:val="center"/>
              <w:rPr>
                <w:rFonts w:hint="default" w:eastAsia="宋体"/>
                <w:lang w:val="en-US" w:eastAsia="zh-CN"/>
              </w:rPr>
            </w:pPr>
            <w:r>
              <w:rPr>
                <w:rFonts w:hint="eastAsia"/>
                <w:lang w:val="en-US" w:eastAsia="zh-CN"/>
              </w:rPr>
              <w:t>96.90</w:t>
            </w:r>
          </w:p>
        </w:tc>
        <w:tc>
          <w:tcPr>
            <w:tcW w:w="464" w:type="pct"/>
            <w:vAlign w:val="center"/>
          </w:tcPr>
          <w:p w14:paraId="25302535">
            <w:pPr>
              <w:pStyle w:val="35"/>
              <w:jc w:val="center"/>
              <w:rPr>
                <w:rFonts w:hint="default" w:eastAsia="宋体"/>
                <w:lang w:val="en-US" w:eastAsia="zh-CN"/>
              </w:rPr>
            </w:pPr>
            <w:r>
              <w:rPr>
                <w:rFonts w:hint="eastAsia"/>
                <w:lang w:val="en-US" w:eastAsia="zh-CN"/>
              </w:rPr>
              <w:t>97</w:t>
            </w:r>
          </w:p>
        </w:tc>
        <w:tc>
          <w:tcPr>
            <w:tcW w:w="464" w:type="pct"/>
            <w:vAlign w:val="center"/>
          </w:tcPr>
          <w:p w14:paraId="49C6731D">
            <w:pPr>
              <w:pStyle w:val="35"/>
              <w:jc w:val="center"/>
              <w:rPr>
                <w:rFonts w:hint="default" w:eastAsia="宋体"/>
                <w:lang w:val="en-US" w:eastAsia="zh-CN"/>
              </w:rPr>
            </w:pPr>
            <w:r>
              <w:rPr>
                <w:rFonts w:hint="eastAsia"/>
                <w:lang w:val="en-US" w:eastAsia="zh-CN"/>
              </w:rPr>
              <w:t>98</w:t>
            </w:r>
          </w:p>
        </w:tc>
        <w:tc>
          <w:tcPr>
            <w:tcW w:w="893" w:type="pct"/>
            <w:vMerge w:val="continue"/>
            <w:vAlign w:val="center"/>
          </w:tcPr>
          <w:p w14:paraId="50446897">
            <w:pPr>
              <w:pStyle w:val="35"/>
              <w:jc w:val="center"/>
              <w:rPr>
                <w:rFonts w:hint="eastAsia"/>
                <w:highlight w:val="none"/>
                <w:lang w:val="en-US" w:eastAsia="zh-CN"/>
              </w:rPr>
            </w:pPr>
          </w:p>
        </w:tc>
      </w:tr>
      <w:tr w14:paraId="4BB3B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 w:type="pct"/>
            <w:noWrap/>
            <w:vAlign w:val="center"/>
          </w:tcPr>
          <w:p w14:paraId="683342EE">
            <w:pPr>
              <w:pStyle w:val="35"/>
              <w:jc w:val="center"/>
            </w:pPr>
            <w:r>
              <w:t>1</w:t>
            </w:r>
            <w:r>
              <w:rPr>
                <w:rFonts w:hint="eastAsia"/>
              </w:rPr>
              <w:t>1</w:t>
            </w:r>
          </w:p>
        </w:tc>
        <w:tc>
          <w:tcPr>
            <w:tcW w:w="823" w:type="pct"/>
            <w:vMerge w:val="restart"/>
            <w:noWrap/>
            <w:vAlign w:val="center"/>
          </w:tcPr>
          <w:p w14:paraId="3A33E24A">
            <w:pPr>
              <w:pStyle w:val="35"/>
              <w:jc w:val="center"/>
            </w:pPr>
            <w:r>
              <w:rPr>
                <w:rFonts w:hint="eastAsia"/>
              </w:rPr>
              <w:t>绿色低碳创新指标</w:t>
            </w:r>
          </w:p>
        </w:tc>
        <w:tc>
          <w:tcPr>
            <w:tcW w:w="1185" w:type="pct"/>
            <w:noWrap/>
            <w:vAlign w:val="center"/>
          </w:tcPr>
          <w:p w14:paraId="117A7278">
            <w:pPr>
              <w:pStyle w:val="35"/>
              <w:jc w:val="center"/>
              <w:rPr>
                <w:highlight w:val="none"/>
              </w:rPr>
            </w:pPr>
            <w:r>
              <w:rPr>
                <w:rFonts w:hint="eastAsia"/>
                <w:highlight w:val="none"/>
              </w:rPr>
              <w:t>绿色低碳技术研究与试验发展经费投入强度</w:t>
            </w:r>
          </w:p>
        </w:tc>
        <w:tc>
          <w:tcPr>
            <w:tcW w:w="496" w:type="pct"/>
            <w:noWrap/>
            <w:vAlign w:val="center"/>
          </w:tcPr>
          <w:p w14:paraId="716D1407">
            <w:pPr>
              <w:pStyle w:val="35"/>
              <w:jc w:val="center"/>
            </w:pPr>
            <w:r>
              <w:rPr>
                <w:rFonts w:hint="eastAsia"/>
              </w:rPr>
              <w:t>%</w:t>
            </w:r>
          </w:p>
        </w:tc>
        <w:tc>
          <w:tcPr>
            <w:tcW w:w="464" w:type="pct"/>
            <w:vAlign w:val="center"/>
          </w:tcPr>
          <w:p w14:paraId="6E4B482B">
            <w:pPr>
              <w:pStyle w:val="35"/>
              <w:ind w:firstLine="0" w:firstLineChars="0"/>
              <w:jc w:val="center"/>
            </w:pPr>
            <w:r>
              <w:rPr>
                <w:rFonts w:hint="eastAsia"/>
                <w:color w:val="auto"/>
                <w:highlight w:val="none"/>
                <w:lang w:val="en-US" w:eastAsia="zh-CN"/>
              </w:rPr>
              <w:t>9.35</w:t>
            </w:r>
          </w:p>
        </w:tc>
        <w:tc>
          <w:tcPr>
            <w:tcW w:w="464" w:type="pct"/>
            <w:vAlign w:val="center"/>
          </w:tcPr>
          <w:p w14:paraId="5627AE64">
            <w:pPr>
              <w:pStyle w:val="35"/>
              <w:ind w:firstLine="0" w:firstLineChars="0"/>
              <w:jc w:val="center"/>
            </w:pPr>
            <w:r>
              <w:rPr>
                <w:rFonts w:hint="eastAsia"/>
                <w:color w:val="auto"/>
                <w:highlight w:val="none"/>
                <w:lang w:val="en-US" w:eastAsia="zh-CN"/>
              </w:rPr>
              <w:t>9.5</w:t>
            </w:r>
          </w:p>
        </w:tc>
        <w:tc>
          <w:tcPr>
            <w:tcW w:w="464" w:type="pct"/>
            <w:vAlign w:val="center"/>
          </w:tcPr>
          <w:p w14:paraId="154E5F20">
            <w:pPr>
              <w:pStyle w:val="35"/>
              <w:ind w:firstLine="0" w:firstLineChars="0"/>
              <w:jc w:val="center"/>
            </w:pPr>
            <w:r>
              <w:rPr>
                <w:rFonts w:hint="eastAsia"/>
                <w:color w:val="auto"/>
                <w:highlight w:val="none"/>
                <w:lang w:val="en-US" w:eastAsia="zh-CN"/>
              </w:rPr>
              <w:t>9.8</w:t>
            </w:r>
          </w:p>
        </w:tc>
        <w:tc>
          <w:tcPr>
            <w:tcW w:w="893" w:type="pct"/>
            <w:vAlign w:val="center"/>
          </w:tcPr>
          <w:p w14:paraId="4080014D">
            <w:pPr>
              <w:pStyle w:val="35"/>
              <w:ind w:firstLine="0" w:firstLineChars="0"/>
              <w:jc w:val="center"/>
              <w:rPr>
                <w:rFonts w:hint="eastAsia"/>
                <w:color w:val="auto"/>
                <w:highlight w:val="none"/>
                <w:lang w:val="en-US" w:eastAsia="zh-CN"/>
              </w:rPr>
            </w:pPr>
            <w:r>
              <w:rPr>
                <w:rFonts w:hint="eastAsia"/>
                <w:color w:val="auto"/>
                <w:highlight w:val="none"/>
                <w:lang w:val="en-US" w:eastAsia="zh-CN"/>
              </w:rPr>
              <w:t>高新区专项工作组、经济发展局、投资促进局</w:t>
            </w:r>
          </w:p>
        </w:tc>
      </w:tr>
      <w:tr w14:paraId="673AB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 w:type="pct"/>
            <w:noWrap/>
            <w:vAlign w:val="center"/>
          </w:tcPr>
          <w:p w14:paraId="49D1569E">
            <w:pPr>
              <w:pStyle w:val="35"/>
              <w:jc w:val="center"/>
            </w:pPr>
            <w:r>
              <w:rPr>
                <w:rFonts w:hint="eastAsia"/>
              </w:rPr>
              <w:t>12</w:t>
            </w:r>
          </w:p>
        </w:tc>
        <w:tc>
          <w:tcPr>
            <w:tcW w:w="823" w:type="pct"/>
            <w:vMerge w:val="continue"/>
            <w:noWrap/>
            <w:vAlign w:val="center"/>
          </w:tcPr>
          <w:p w14:paraId="1253C836">
            <w:pPr>
              <w:pStyle w:val="35"/>
              <w:jc w:val="center"/>
            </w:pPr>
          </w:p>
        </w:tc>
        <w:tc>
          <w:tcPr>
            <w:tcW w:w="1185" w:type="pct"/>
            <w:noWrap/>
            <w:vAlign w:val="center"/>
          </w:tcPr>
          <w:p w14:paraId="2D914FE9">
            <w:pPr>
              <w:pStyle w:val="35"/>
              <w:jc w:val="center"/>
              <w:rPr>
                <w:highlight w:val="none"/>
              </w:rPr>
            </w:pPr>
            <w:r>
              <w:rPr>
                <w:rFonts w:hint="eastAsia"/>
                <w:highlight w:val="none"/>
              </w:rPr>
              <w:t>国家级绿色工厂数量</w:t>
            </w:r>
          </w:p>
          <w:p w14:paraId="3949E51E">
            <w:pPr>
              <w:pStyle w:val="35"/>
              <w:jc w:val="center"/>
              <w:rPr>
                <w:highlight w:val="none"/>
              </w:rPr>
            </w:pPr>
            <w:r>
              <w:rPr>
                <w:rFonts w:hint="eastAsia"/>
                <w:highlight w:val="none"/>
              </w:rPr>
              <w:t>（累计）</w:t>
            </w:r>
          </w:p>
        </w:tc>
        <w:tc>
          <w:tcPr>
            <w:tcW w:w="496" w:type="pct"/>
            <w:noWrap/>
            <w:vAlign w:val="center"/>
          </w:tcPr>
          <w:p w14:paraId="1DE9B816">
            <w:pPr>
              <w:pStyle w:val="35"/>
              <w:jc w:val="center"/>
            </w:pPr>
            <w:r>
              <w:rPr>
                <w:rFonts w:hint="eastAsia"/>
              </w:rPr>
              <w:t>个</w:t>
            </w:r>
          </w:p>
        </w:tc>
        <w:tc>
          <w:tcPr>
            <w:tcW w:w="464" w:type="pct"/>
            <w:vAlign w:val="center"/>
          </w:tcPr>
          <w:p w14:paraId="677375C7">
            <w:pPr>
              <w:pStyle w:val="35"/>
              <w:jc w:val="center"/>
              <w:rPr>
                <w:rFonts w:hint="eastAsia" w:eastAsia="宋体"/>
                <w:lang w:val="en-US" w:eastAsia="zh-CN"/>
              </w:rPr>
            </w:pPr>
            <w:r>
              <w:rPr>
                <w:rFonts w:hint="eastAsia"/>
                <w:lang w:val="en-US" w:eastAsia="zh-CN"/>
              </w:rPr>
              <w:t>7</w:t>
            </w:r>
          </w:p>
        </w:tc>
        <w:tc>
          <w:tcPr>
            <w:tcW w:w="464" w:type="pct"/>
            <w:vAlign w:val="center"/>
          </w:tcPr>
          <w:p w14:paraId="10A73D4F">
            <w:pPr>
              <w:pStyle w:val="35"/>
              <w:jc w:val="center"/>
              <w:rPr>
                <w:rFonts w:hint="eastAsia" w:eastAsia="宋体"/>
                <w:lang w:val="en-US" w:eastAsia="zh-CN"/>
              </w:rPr>
            </w:pPr>
            <w:r>
              <w:rPr>
                <w:rFonts w:hint="eastAsia"/>
                <w:lang w:val="en-US" w:eastAsia="zh-CN"/>
              </w:rPr>
              <w:t>8</w:t>
            </w:r>
          </w:p>
        </w:tc>
        <w:tc>
          <w:tcPr>
            <w:tcW w:w="464" w:type="pct"/>
            <w:vAlign w:val="center"/>
          </w:tcPr>
          <w:p w14:paraId="738E2028">
            <w:pPr>
              <w:pStyle w:val="35"/>
              <w:jc w:val="center"/>
              <w:rPr>
                <w:rFonts w:hint="default" w:eastAsia="宋体"/>
                <w:lang w:val="en-US" w:eastAsia="zh-CN"/>
              </w:rPr>
            </w:pPr>
            <w:r>
              <w:rPr>
                <w:rFonts w:hint="eastAsia"/>
                <w:lang w:val="en-US" w:eastAsia="zh-CN"/>
              </w:rPr>
              <w:t>10</w:t>
            </w:r>
          </w:p>
        </w:tc>
        <w:tc>
          <w:tcPr>
            <w:tcW w:w="893" w:type="pct"/>
            <w:vAlign w:val="center"/>
          </w:tcPr>
          <w:p w14:paraId="652B8C72">
            <w:pPr>
              <w:pStyle w:val="35"/>
              <w:jc w:val="center"/>
              <w:rPr>
                <w:rFonts w:hint="eastAsia"/>
                <w:highlight w:val="none"/>
                <w:lang w:val="en-US" w:eastAsia="zh-CN"/>
              </w:rPr>
            </w:pPr>
            <w:r>
              <w:rPr>
                <w:rFonts w:hint="eastAsia"/>
                <w:highlight w:val="none"/>
                <w:lang w:val="en-US" w:eastAsia="zh-CN"/>
              </w:rPr>
              <w:t>经济发展局</w:t>
            </w:r>
          </w:p>
        </w:tc>
      </w:tr>
      <w:tr w14:paraId="47629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 w:type="pct"/>
            <w:noWrap/>
            <w:vAlign w:val="center"/>
          </w:tcPr>
          <w:p w14:paraId="22544DF5">
            <w:pPr>
              <w:pStyle w:val="35"/>
              <w:jc w:val="center"/>
              <w:rPr>
                <w:rFonts w:hint="default" w:eastAsia="宋体"/>
                <w:lang w:val="en-US" w:eastAsia="zh-CN"/>
              </w:rPr>
            </w:pPr>
            <w:r>
              <w:rPr>
                <w:rFonts w:hint="eastAsia"/>
                <w:lang w:val="en-US" w:eastAsia="zh-CN"/>
              </w:rPr>
              <w:t>13</w:t>
            </w:r>
          </w:p>
        </w:tc>
        <w:tc>
          <w:tcPr>
            <w:tcW w:w="823" w:type="pct"/>
            <w:vMerge w:val="continue"/>
            <w:noWrap/>
            <w:vAlign w:val="center"/>
          </w:tcPr>
          <w:p w14:paraId="561B00B8">
            <w:pPr>
              <w:pStyle w:val="35"/>
              <w:jc w:val="center"/>
            </w:pPr>
          </w:p>
        </w:tc>
        <w:tc>
          <w:tcPr>
            <w:tcW w:w="1185" w:type="pct"/>
            <w:noWrap/>
            <w:vAlign w:val="center"/>
          </w:tcPr>
          <w:p w14:paraId="01AB1BE2">
            <w:pPr>
              <w:pStyle w:val="35"/>
              <w:jc w:val="center"/>
              <w:rPr>
                <w:rFonts w:hint="default" w:eastAsia="宋体"/>
                <w:highlight w:val="none"/>
                <w:lang w:val="en-US" w:eastAsia="zh-CN"/>
              </w:rPr>
            </w:pPr>
            <w:r>
              <w:rPr>
                <w:rFonts w:hint="eastAsia"/>
                <w:highlight w:val="none"/>
                <w:lang w:val="en-US" w:eastAsia="zh-CN"/>
              </w:rPr>
              <w:t>新建厂房屋顶可利用面积光伏覆盖率</w:t>
            </w:r>
          </w:p>
        </w:tc>
        <w:tc>
          <w:tcPr>
            <w:tcW w:w="496" w:type="pct"/>
            <w:noWrap/>
            <w:vAlign w:val="center"/>
          </w:tcPr>
          <w:p w14:paraId="63FB9E89">
            <w:pPr>
              <w:pStyle w:val="35"/>
              <w:jc w:val="center"/>
              <w:rPr>
                <w:rFonts w:hint="eastAsia" w:eastAsia="宋体"/>
                <w:highlight w:val="none"/>
                <w:lang w:val="en-US" w:eastAsia="zh-CN"/>
              </w:rPr>
            </w:pPr>
            <w:r>
              <w:rPr>
                <w:rFonts w:hint="eastAsia"/>
                <w:highlight w:val="none"/>
                <w:lang w:val="en-US" w:eastAsia="zh-CN"/>
              </w:rPr>
              <w:t>%</w:t>
            </w:r>
          </w:p>
        </w:tc>
        <w:tc>
          <w:tcPr>
            <w:tcW w:w="464" w:type="pct"/>
            <w:vAlign w:val="center"/>
          </w:tcPr>
          <w:p w14:paraId="3D10E999">
            <w:pPr>
              <w:pStyle w:val="35"/>
              <w:jc w:val="center"/>
              <w:rPr>
                <w:rFonts w:hint="default"/>
                <w:highlight w:val="none"/>
                <w:lang w:val="en-US" w:eastAsia="zh-CN"/>
              </w:rPr>
            </w:pPr>
            <w:r>
              <w:rPr>
                <w:rFonts w:hint="eastAsia"/>
                <w:highlight w:val="none"/>
                <w:lang w:val="en-US" w:eastAsia="zh-CN"/>
              </w:rPr>
              <w:t>/</w:t>
            </w:r>
          </w:p>
        </w:tc>
        <w:tc>
          <w:tcPr>
            <w:tcW w:w="464" w:type="pct"/>
            <w:vAlign w:val="center"/>
          </w:tcPr>
          <w:p w14:paraId="6E28EF1A">
            <w:pPr>
              <w:pStyle w:val="35"/>
              <w:jc w:val="center"/>
              <w:rPr>
                <w:rFonts w:hint="default"/>
                <w:highlight w:val="none"/>
                <w:lang w:val="en-US" w:eastAsia="zh-CN"/>
              </w:rPr>
            </w:pPr>
            <w:r>
              <w:rPr>
                <w:rFonts w:hint="eastAsia"/>
                <w:highlight w:val="none"/>
                <w:lang w:val="en-US" w:eastAsia="zh-CN"/>
              </w:rPr>
              <w:t>5</w:t>
            </w:r>
          </w:p>
        </w:tc>
        <w:tc>
          <w:tcPr>
            <w:tcW w:w="464" w:type="pct"/>
            <w:vAlign w:val="center"/>
          </w:tcPr>
          <w:p w14:paraId="2A3CBD30">
            <w:pPr>
              <w:pStyle w:val="35"/>
              <w:jc w:val="center"/>
              <w:rPr>
                <w:rFonts w:hint="default"/>
                <w:highlight w:val="none"/>
                <w:lang w:val="en-US" w:eastAsia="zh-CN"/>
              </w:rPr>
            </w:pPr>
            <w:r>
              <w:rPr>
                <w:rFonts w:hint="eastAsia"/>
                <w:highlight w:val="none"/>
                <w:lang w:val="en-US" w:eastAsia="zh-CN"/>
              </w:rPr>
              <w:t>50</w:t>
            </w:r>
          </w:p>
        </w:tc>
        <w:tc>
          <w:tcPr>
            <w:tcW w:w="893" w:type="pct"/>
            <w:vAlign w:val="center"/>
          </w:tcPr>
          <w:p w14:paraId="61EDD82A">
            <w:pPr>
              <w:pStyle w:val="35"/>
              <w:jc w:val="center"/>
              <w:rPr>
                <w:rFonts w:hint="eastAsia"/>
                <w:highlight w:val="none"/>
                <w:lang w:val="en-US" w:eastAsia="zh-CN"/>
              </w:rPr>
            </w:pPr>
            <w:r>
              <w:rPr>
                <w:rFonts w:hint="eastAsia"/>
                <w:highlight w:val="none"/>
                <w:lang w:val="en-US" w:eastAsia="zh-CN"/>
              </w:rPr>
              <w:t>经济发展局、投资促进局、规划建设局</w:t>
            </w:r>
          </w:p>
        </w:tc>
      </w:tr>
    </w:tbl>
    <w:p w14:paraId="2A083C17">
      <w:pPr>
        <w:overflowPunct/>
        <w:ind w:firstLine="0" w:firstLineChars="0"/>
        <w:jc w:val="left"/>
        <w:rPr>
          <w:rFonts w:eastAsia="黑体"/>
          <w:bCs/>
          <w:kern w:val="44"/>
          <w:szCs w:val="44"/>
        </w:rPr>
        <w:sectPr>
          <w:pgSz w:w="16838" w:h="11906" w:orient="landscape"/>
          <w:pgMar w:top="1588" w:right="2098" w:bottom="1474" w:left="1985" w:header="1134" w:footer="1134" w:gutter="0"/>
          <w:cols w:space="425" w:num="1"/>
          <w:docGrid w:type="linesAndChars" w:linePitch="312" w:charSpace="0"/>
        </w:sectPr>
      </w:pPr>
    </w:p>
    <w:p w14:paraId="2E49B44B">
      <w:pPr>
        <w:pStyle w:val="2"/>
        <w:ind w:firstLine="640"/>
      </w:pPr>
      <w:bookmarkStart w:id="66" w:name="_Toc6866"/>
      <w:bookmarkStart w:id="67" w:name="_Toc31119"/>
      <w:bookmarkStart w:id="68" w:name="_Toc891"/>
      <w:bookmarkStart w:id="69" w:name="_Toc25608"/>
      <w:bookmarkStart w:id="70" w:name="_Toc11577"/>
      <w:r>
        <w:rPr>
          <w:rFonts w:hint="eastAsia"/>
        </w:rPr>
        <w:t>三、重点任务</w:t>
      </w:r>
      <w:bookmarkEnd w:id="66"/>
      <w:bookmarkEnd w:id="67"/>
      <w:bookmarkEnd w:id="68"/>
      <w:bookmarkEnd w:id="69"/>
      <w:bookmarkEnd w:id="70"/>
    </w:p>
    <w:p w14:paraId="44DD1A55">
      <w:pPr>
        <w:pStyle w:val="3"/>
        <w:ind w:firstLine="640"/>
        <w:rPr>
          <w:rFonts w:hint="eastAsia"/>
        </w:rPr>
      </w:pPr>
      <w:bookmarkStart w:id="71" w:name="_Toc1520"/>
      <w:bookmarkStart w:id="72" w:name="_Toc14350"/>
      <w:bookmarkStart w:id="73" w:name="_Toc29293"/>
      <w:bookmarkStart w:id="74" w:name="_Toc12922"/>
      <w:bookmarkStart w:id="75" w:name="_Toc29782"/>
      <w:r>
        <w:rPr>
          <w:rFonts w:hint="eastAsia"/>
        </w:rPr>
        <w:t>（</w:t>
      </w:r>
      <w:r>
        <w:rPr>
          <w:rFonts w:hint="eastAsia"/>
          <w:lang w:val="en-US" w:eastAsia="zh-CN"/>
        </w:rPr>
        <w:t>一</w:t>
      </w:r>
      <w:r>
        <w:rPr>
          <w:rFonts w:hint="eastAsia"/>
        </w:rPr>
        <w:t>）推动产业</w:t>
      </w:r>
      <w:r>
        <w:rPr>
          <w:rFonts w:hint="eastAsia"/>
          <w:lang w:val="en-US" w:eastAsia="zh-CN"/>
        </w:rPr>
        <w:t>绿色低碳</w:t>
      </w:r>
      <w:r>
        <w:rPr>
          <w:rFonts w:hint="eastAsia"/>
        </w:rPr>
        <w:t>发展</w:t>
      </w:r>
      <w:bookmarkEnd w:id="71"/>
    </w:p>
    <w:p w14:paraId="69461DE7">
      <w:pPr>
        <w:pStyle w:val="4"/>
        <w:rPr>
          <w:rFonts w:hint="default" w:eastAsia="仿宋_GB2312"/>
          <w:lang w:val="en-US" w:eastAsia="zh-CN"/>
        </w:rPr>
      </w:pPr>
      <w:r>
        <w:rPr>
          <w:rFonts w:hint="eastAsia"/>
        </w:rPr>
        <w:t>1. 推动</w:t>
      </w:r>
      <w:r>
        <w:rPr>
          <w:rFonts w:hint="eastAsia"/>
          <w:lang w:val="en-US" w:eastAsia="zh-CN"/>
        </w:rPr>
        <w:t>重点行业节能降碳</w:t>
      </w:r>
    </w:p>
    <w:p w14:paraId="73805D67">
      <w:pPr>
        <w:ind w:firstLine="643"/>
        <w:rPr>
          <w:rFonts w:hint="eastAsia" w:eastAsia="仿宋_GB2312"/>
          <w:lang w:val="en" w:eastAsia="zh-CN"/>
        </w:rPr>
      </w:pPr>
      <w:r>
        <w:rPr>
          <w:rFonts w:hint="eastAsia"/>
          <w:shd w:val="clear" w:color="auto" w:fill="FFFFFF"/>
        </w:rPr>
        <w:t>严格对标国家能效标杆水平和基准水平</w:t>
      </w:r>
      <w:r>
        <w:rPr>
          <w:rFonts w:hint="eastAsia"/>
          <w:shd w:val="clear" w:color="auto" w:fill="FFFFFF"/>
          <w:lang w:eastAsia="zh-CN"/>
        </w:rPr>
        <w:t>，</w:t>
      </w:r>
      <w:r>
        <w:rPr>
          <w:rFonts w:hint="eastAsia"/>
          <w:shd w:val="clear" w:color="auto" w:fill="FFFFFF"/>
          <w:lang w:val="en-US" w:eastAsia="zh-CN"/>
        </w:rPr>
        <w:t>推动重点行业节能降碳</w:t>
      </w:r>
      <w:r>
        <w:rPr>
          <w:rFonts w:hint="eastAsia"/>
          <w:shd w:val="clear" w:color="auto" w:fill="FFFFFF"/>
        </w:rPr>
        <w:t>。</w:t>
      </w:r>
      <w:r>
        <w:rPr>
          <w:rFonts w:hint="eastAsia"/>
          <w:b/>
          <w:bCs/>
          <w:shd w:val="clear" w:color="auto" w:fill="FFFFFF"/>
        </w:rPr>
        <w:t>在新材料领域，</w:t>
      </w:r>
      <w:r>
        <w:rPr>
          <w:rFonts w:hint="eastAsia"/>
          <w:shd w:val="clear" w:color="auto" w:fill="FFFFFF"/>
        </w:rPr>
        <w:t>以电子材料、元器件、典型电子整机产品为重点，大力推进单晶硅、电极箔、锂电材料等生产工艺的改进；引导合盛硅业实施工业硅矿热炉改造，提高技术装备水平，提升工业硅产品能效，力争2025年底前实现单位产品综合能耗降至2500kgce/t以下。</w:t>
      </w:r>
      <w:r>
        <w:rPr>
          <w:rFonts w:hint="eastAsia"/>
          <w:b/>
          <w:bCs/>
          <w:shd w:val="clear" w:color="auto" w:fill="FFFFFF"/>
        </w:rPr>
        <w:t>在化工领域，</w:t>
      </w:r>
      <w:r>
        <w:rPr>
          <w:rFonts w:hint="eastAsia"/>
          <w:shd w:val="clear" w:color="auto" w:fill="FFFFFF"/>
        </w:rPr>
        <w:t>严格控制新增延迟焦化生产规模。</w:t>
      </w:r>
      <w:r>
        <w:rPr>
          <w:rFonts w:hint="eastAsia"/>
          <w:shd w:val="clear" w:color="auto" w:fill="FFFFFF"/>
          <w:lang w:val="en-US" w:eastAsia="zh-CN"/>
        </w:rPr>
        <w:t>力争</w:t>
      </w:r>
      <w:r>
        <w:rPr>
          <w:rFonts w:hint="eastAsia"/>
          <w:shd w:val="clear" w:color="auto" w:fill="FFFFFF"/>
        </w:rPr>
        <w:t>新建和改扩建化工项目达到能效标杆水平和环保绩效A级水平，用于置换的产能须按要求及时关停并拆除主要生产设施。严控电石行业新增产能，重点发展绿色化工，提高低碳原料比重；聚焦电石、烧碱、煤制乙二醇等关键领域、关键环节，积极推广先进节能、节水、节材技术和工艺，组织实施节能降碳改造示范项目；采用高效催化技术、过程强化技术、精馏分离技术等改造现有工艺装置。</w:t>
      </w:r>
      <w:r>
        <w:rPr>
          <w:rFonts w:hint="eastAsia"/>
          <w:b/>
          <w:bCs/>
          <w:shd w:val="clear" w:color="auto" w:fill="FFFFFF"/>
        </w:rPr>
        <w:t>在有色金属领域，</w:t>
      </w:r>
      <w:r>
        <w:rPr>
          <w:rFonts w:hint="eastAsia"/>
          <w:shd w:val="clear" w:color="auto" w:fill="FFFFFF"/>
        </w:rPr>
        <w:t>持续优化产能布局，严格落实电解铝产能置换；严格控制新增电解铝产能，新建和改扩建电解铝项目须达到能效标杆水平和环保绩效A级水平；以天山铝业为核心，重点推动电解铝新型稳流保温铝电解槽节能改造、电解槽结构优化与智能控制、铝电解槽能量流优化及余热回收等节能低碳技术改造，加快氧化铝高效溶出、低碳铝电解、电解槽余热回收、冶炼余热回收等技术研发推广；到2025年，电解铝铝液交流电电耗</w:t>
      </w:r>
      <w:r>
        <w:rPr>
          <w:rFonts w:hint="eastAsia"/>
          <w:shd w:val="clear" w:color="auto" w:fill="FFFFFF"/>
          <w:lang w:val="en-US" w:eastAsia="zh-CN"/>
        </w:rPr>
        <w:t>力争</w:t>
      </w:r>
      <w:r>
        <w:rPr>
          <w:rFonts w:hint="eastAsia"/>
          <w:shd w:val="clear" w:color="auto" w:fill="FFFFFF"/>
        </w:rPr>
        <w:t>达到国家标杆水平。</w:t>
      </w:r>
      <w:r>
        <w:rPr>
          <w:rFonts w:hint="eastAsia"/>
          <w:b/>
          <w:bCs/>
        </w:rPr>
        <w:t>在建材领域，</w:t>
      </w:r>
      <w:r>
        <w:rPr>
          <w:rFonts w:hint="eastAsia"/>
        </w:rPr>
        <w:t>不断优化建材行业用能结构，加快水泥原料替代，提升工业固体废弃物资源化利用水平，在保证水泥产品质量的前提下，推广高固废掺量的低碳水泥生产技术，引导水泥企业使用非碳酸盐原料制水泥；</w:t>
      </w:r>
      <w:r>
        <w:rPr>
          <w:rFonts w:hint="eastAsia"/>
          <w:lang w:val="en-US" w:eastAsia="zh-CN"/>
        </w:rPr>
        <w:t>推动</w:t>
      </w:r>
      <w:r>
        <w:rPr>
          <w:rFonts w:hint="eastAsia"/>
        </w:rPr>
        <w:t>现有水泥企业持续实施窑炉改造、余热余压利用、电机系统节能、能量系统优化、除尘系统改造等技术改造措施，保持现有水泥熟料单位产品综合能耗能效标杆水平；推动水泥错峰生产常态化（包括利用电石渣、承担居民供暖以及协同处置生活垃圾、污泥、危废处置的水泥熟料企业），2025年底前基本完成水泥行业全流程超低排放改造。</w:t>
      </w:r>
      <w:r>
        <w:rPr>
          <w:rFonts w:hint="eastAsia"/>
          <w:b/>
          <w:bCs/>
          <w:lang w:eastAsia="zh-CN"/>
        </w:rPr>
        <w:t>（</w:t>
      </w:r>
      <w:r>
        <w:rPr>
          <w:rFonts w:hint="eastAsia"/>
          <w:b/>
          <w:bCs/>
          <w:lang w:val="en-US" w:eastAsia="zh-CN"/>
        </w:rPr>
        <w:t>责任单位：</w:t>
      </w:r>
      <w:r>
        <w:rPr>
          <w:rFonts w:hint="eastAsia"/>
          <w:b/>
          <w:bCs/>
          <w:lang w:eastAsia="zh-CN"/>
        </w:rPr>
        <w:t>经济发展局、规划建设局</w:t>
      </w:r>
      <w:r>
        <w:rPr>
          <w:rFonts w:hint="eastAsia"/>
          <w:b/>
          <w:bCs/>
        </w:rPr>
        <w:t>、十户滩新材料工业园区管理办公室</w:t>
      </w:r>
      <w:r>
        <w:rPr>
          <w:rFonts w:hint="eastAsia"/>
          <w:b/>
          <w:bCs/>
          <w:lang w:eastAsia="zh-CN"/>
        </w:rPr>
        <w:t>）</w:t>
      </w:r>
    </w:p>
    <w:p w14:paraId="165F8F3C">
      <w:pPr>
        <w:pStyle w:val="4"/>
        <w:rPr>
          <w:rFonts w:hint="default" w:eastAsia="仿宋_GB2312"/>
          <w:lang w:val="en-US" w:eastAsia="zh-CN"/>
        </w:rPr>
      </w:pPr>
      <w:r>
        <w:rPr>
          <w:rFonts w:hint="eastAsia"/>
        </w:rPr>
        <w:t>2</w:t>
      </w:r>
      <w:r>
        <w:t xml:space="preserve">. </w:t>
      </w:r>
      <w:r>
        <w:rPr>
          <w:rFonts w:hint="eastAsia"/>
        </w:rPr>
        <w:t>加快</w:t>
      </w:r>
      <w:r>
        <w:rPr>
          <w:rFonts w:hint="eastAsia"/>
          <w:lang w:val="en-US" w:eastAsia="zh-CN"/>
        </w:rPr>
        <w:t>传统产业转型升级</w:t>
      </w:r>
    </w:p>
    <w:p w14:paraId="52509789">
      <w:pPr>
        <w:ind w:firstLine="640"/>
      </w:pPr>
      <w:r>
        <w:rPr>
          <w:rFonts w:hint="eastAsia"/>
        </w:rPr>
        <w:t>持续推动化工、有色、建材、纺织、非金属冶炼等传统产业绿色化、智能化、高端化发展。聚焦强链、延链、补链，提升产业发展能级，提高精深加工比重和能效水平、提升高附加值产业环节和产品比重，降低产业能耗强度和碳排放强度。</w:t>
      </w:r>
      <w:r>
        <w:rPr>
          <w:rFonts w:hint="eastAsia"/>
          <w:b/>
          <w:bCs/>
        </w:rPr>
        <w:t>有色金属产业，</w:t>
      </w:r>
      <w:r>
        <w:rPr>
          <w:rFonts w:hint="eastAsia"/>
        </w:rPr>
        <w:t>以高端铝型材和压铸件、铝镁合金、铝锂合金、硅铝合金等特种铝合金、泡沫铝、铝板带、铝塑膜、电池箔等新材料为重点，大力延伸铝下游精深加工产业链，发展高纯铝、电子铝箔、铝合金、铝基新材料等产品。</w:t>
      </w:r>
      <w:r>
        <w:rPr>
          <w:rFonts w:hint="eastAsia"/>
          <w:b/>
          <w:bCs/>
        </w:rPr>
        <w:t>化工产业，</w:t>
      </w:r>
      <w:r>
        <w:rPr>
          <w:rFonts w:hint="eastAsia"/>
        </w:rPr>
        <w:t>在氯碱化工领域大力拓展下游高聚合度PVC、改性PVC、氯化PVC（CPVC）和合金PVC等高附加值产品，在精细化工领域着力培育</w:t>
      </w:r>
      <w:r>
        <w:rPr>
          <w:rFonts w:hint="eastAsia"/>
          <w:lang w:val="en-US" w:eastAsia="zh-CN"/>
        </w:rPr>
        <w:t>高端聚烯烃、电子及化学品、草酸酯系列产品、生物降解材料</w:t>
      </w:r>
      <w:r>
        <w:rPr>
          <w:rFonts w:hint="eastAsia"/>
        </w:rPr>
        <w:t>等精细化工产业，在合成树脂领域做精做细醇基化工产业链。</w:t>
      </w:r>
      <w:r>
        <w:rPr>
          <w:rFonts w:hint="eastAsia"/>
          <w:b/>
          <w:bCs/>
        </w:rPr>
        <w:t>非金属新材料产业，</w:t>
      </w:r>
      <w:r>
        <w:rPr>
          <w:rFonts w:hint="eastAsia"/>
        </w:rPr>
        <w:t>重点发展电子级多晶硅、太阳能单晶硅、光伏背板、光伏玻璃等新材料，推动硅光伏、硅电子、硅化工、硅合金等硅基下游产业发展，推动“新能源+煤电硅材一体化”绿色发展；推进高端有机硅产品研发，优先发展改性硅橡胶、高端硅树脂、硅氧烷等深加工项目。对国家确定的六大高耗能行业，年综合能源消费量10000吨标准煤及以上的其他重点用能企业，摸清主要耗能工序、重点用能设备、单位产品综合能耗情况，一企一策，指导企业</w:t>
      </w:r>
      <w:r>
        <w:rPr>
          <w:rFonts w:hint="eastAsia"/>
          <w:lang w:val="en-US" w:eastAsia="zh-CN"/>
        </w:rPr>
        <w:t>开展节能降碳工作</w:t>
      </w:r>
      <w:r>
        <w:rPr>
          <w:rFonts w:hint="eastAsia"/>
        </w:rPr>
        <w:t>。</w:t>
      </w:r>
      <w:r>
        <w:rPr>
          <w:rFonts w:hint="eastAsia"/>
          <w:b/>
          <w:bCs/>
          <w:lang w:eastAsia="zh-CN"/>
        </w:rPr>
        <w:t>（</w:t>
      </w:r>
      <w:r>
        <w:rPr>
          <w:rFonts w:hint="eastAsia"/>
          <w:b/>
          <w:bCs/>
          <w:lang w:val="en-US" w:eastAsia="zh-CN"/>
        </w:rPr>
        <w:t>责任单位：</w:t>
      </w:r>
      <w:r>
        <w:rPr>
          <w:rFonts w:hint="eastAsia"/>
          <w:b/>
          <w:bCs/>
          <w:lang w:eastAsia="zh-CN"/>
        </w:rPr>
        <w:t>经济发展局、规划建设局</w:t>
      </w:r>
      <w:r>
        <w:rPr>
          <w:rFonts w:hint="eastAsia"/>
          <w:b/>
          <w:bCs/>
        </w:rPr>
        <w:t>、十户滩新材料工业园区管理办公室</w:t>
      </w:r>
      <w:r>
        <w:rPr>
          <w:rFonts w:hint="eastAsia"/>
          <w:b/>
          <w:bCs/>
          <w:lang w:eastAsia="zh-CN"/>
        </w:rPr>
        <w:t>）</w:t>
      </w:r>
    </w:p>
    <w:p w14:paraId="25BB617C">
      <w:pPr>
        <w:pStyle w:val="4"/>
        <w:rPr>
          <w:rFonts w:hint="default" w:eastAsia="仿宋_GB2312"/>
          <w:lang w:val="en-US" w:eastAsia="zh-CN"/>
        </w:rPr>
      </w:pPr>
      <w:r>
        <w:rPr>
          <w:rFonts w:hint="eastAsia"/>
          <w:lang w:val="en-US" w:eastAsia="zh-CN"/>
        </w:rPr>
        <w:t>3</w:t>
      </w:r>
      <w:r>
        <w:t xml:space="preserve">. </w:t>
      </w:r>
      <w:r>
        <w:rPr>
          <w:rFonts w:hint="eastAsia"/>
          <w:lang w:val="en-US" w:eastAsia="zh-CN"/>
        </w:rPr>
        <w:t>深化绿色制造体系建设</w:t>
      </w:r>
    </w:p>
    <w:p w14:paraId="456157F7">
      <w:pPr>
        <w:ind w:firstLine="640"/>
        <w:rPr>
          <w:rFonts w:hint="default"/>
          <w:lang w:val="en-US" w:eastAsia="zh-CN"/>
        </w:rPr>
      </w:pPr>
      <w:r>
        <w:rPr>
          <w:rFonts w:hint="eastAsia"/>
        </w:rPr>
        <w:t>持续推进国家级、兵团级绿色产品、绿色工厂、绿色供应链管理企业建设，对绿色工厂开展全过程动态化管理，探索分类开展星级评价。强化对第三方评价机构监督管理，对绿色工厂实施有进有出的动态化管理，鼓励绿色工厂编制绿色低碳年度发展报告。引导企业优先选用绿色工艺、技术和设备，利用智能制造技术提升绿色制造水平，推动“超级能效”工厂建设。建立绿色工厂培育库，按照“储备一批、培育一批、打造一批”的原则，实施动态分类管理</w:t>
      </w:r>
      <w:r>
        <w:rPr>
          <w:rFonts w:hint="eastAsia"/>
          <w:lang w:eastAsia="zh-CN"/>
        </w:rPr>
        <w:t>。</w:t>
      </w:r>
      <w:r>
        <w:rPr>
          <w:rFonts w:hint="eastAsia"/>
          <w:lang w:val="en-US" w:eastAsia="zh-CN"/>
        </w:rPr>
        <w:t>到2025年，创建国家级绿色工厂8家，到2030年，创建国家级绿色工厂10家。</w:t>
      </w:r>
      <w:r>
        <w:rPr>
          <w:rFonts w:hint="eastAsia"/>
          <w:b/>
          <w:bCs/>
          <w:lang w:eastAsia="zh-CN"/>
        </w:rPr>
        <w:t>（</w:t>
      </w:r>
      <w:r>
        <w:rPr>
          <w:rFonts w:hint="eastAsia"/>
          <w:b/>
          <w:bCs/>
          <w:lang w:val="en-US" w:eastAsia="zh-CN"/>
        </w:rPr>
        <w:t>责任单位：</w:t>
      </w:r>
      <w:r>
        <w:rPr>
          <w:rFonts w:hint="eastAsia"/>
          <w:b/>
          <w:bCs/>
          <w:lang w:eastAsia="zh-CN"/>
        </w:rPr>
        <w:t>经济发展局）</w:t>
      </w:r>
    </w:p>
    <w:p w14:paraId="68C03B72">
      <w:pPr>
        <w:pStyle w:val="4"/>
        <w:rPr>
          <w:rFonts w:hint="default" w:eastAsia="仿宋_GB2312"/>
          <w:lang w:val="en-US" w:eastAsia="zh-CN"/>
        </w:rPr>
      </w:pPr>
      <w:r>
        <w:rPr>
          <w:rFonts w:hint="eastAsia"/>
          <w:lang w:val="en-US" w:eastAsia="zh-CN"/>
        </w:rPr>
        <w:t>4</w:t>
      </w:r>
      <w:r>
        <w:t xml:space="preserve">. </w:t>
      </w:r>
      <w:r>
        <w:rPr>
          <w:rFonts w:hint="eastAsia"/>
          <w:lang w:val="en-US" w:eastAsia="zh-CN"/>
        </w:rPr>
        <w:t>推动节能技术改造</w:t>
      </w:r>
    </w:p>
    <w:p w14:paraId="4F41979D">
      <w:pPr>
        <w:ind w:firstLine="640"/>
        <w:rPr>
          <w:rFonts w:hint="eastAsia"/>
          <w:lang w:eastAsia="zh-CN"/>
        </w:rPr>
      </w:pPr>
      <w:r>
        <w:rPr>
          <w:rFonts w:hint="eastAsia"/>
        </w:rPr>
        <w:t>以有色金属、建材、化工等行业为重点，加大工业窑炉、锅炉、电机、水泵、风机、压缩机等重点用能设备系统的节能改造力度，推动重点用能设备节能增效和能量梯级利用。推广使用先进节能技术，推进水泥窑炉、燃煤锅炉超低排放改造，提高高温散料、废气余热、低品位余能等回收利用。对能效在基准水平以下且难以在规定时限通过改造升级达到基准水平以上的产能，通过市场化方式、法治化手段予以淘汰。加强重点用能设备节能审查和日常监管，强化生产、经营、销售、使用、报废全链条管理，严厉打击违法违规行为，确保能效标准和节能要求全面落实</w:t>
      </w:r>
      <w:r>
        <w:rPr>
          <w:rFonts w:hint="eastAsia"/>
          <w:lang w:eastAsia="zh-CN"/>
        </w:rPr>
        <w:t>。</w:t>
      </w:r>
      <w:r>
        <w:rPr>
          <w:rFonts w:hint="eastAsia"/>
          <w:b/>
          <w:bCs/>
          <w:lang w:eastAsia="zh-CN"/>
        </w:rPr>
        <w:t>（</w:t>
      </w:r>
      <w:r>
        <w:rPr>
          <w:rFonts w:hint="eastAsia"/>
          <w:b/>
          <w:bCs/>
          <w:lang w:val="en-US" w:eastAsia="zh-CN"/>
        </w:rPr>
        <w:t>责任单位：</w:t>
      </w:r>
      <w:r>
        <w:rPr>
          <w:rFonts w:hint="eastAsia"/>
          <w:b/>
          <w:bCs/>
          <w:lang w:eastAsia="zh-CN"/>
        </w:rPr>
        <w:t>经济发展局、规划建设局</w:t>
      </w:r>
      <w:r>
        <w:rPr>
          <w:rFonts w:hint="eastAsia"/>
          <w:b/>
          <w:bCs/>
        </w:rPr>
        <w:t>、十户滩新材料工业园区管理办公室</w:t>
      </w:r>
      <w:r>
        <w:rPr>
          <w:rFonts w:hint="eastAsia"/>
          <w:b/>
          <w:bCs/>
          <w:lang w:eastAsia="zh-CN"/>
        </w:rPr>
        <w:t>）</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08EF4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3371F5D9">
            <w:pPr>
              <w:pStyle w:val="33"/>
              <w:rPr>
                <w:rFonts w:hint="default" w:eastAsia="黑体"/>
                <w:lang w:val="en-US" w:eastAsia="zh-CN"/>
              </w:rPr>
            </w:pPr>
            <w:r>
              <w:t>专栏</w:t>
            </w:r>
            <w:r>
              <w:rPr>
                <w:rFonts w:hint="eastAsia"/>
                <w:lang w:val="en-US" w:eastAsia="zh-CN"/>
              </w:rPr>
              <w:t>一</w:t>
            </w:r>
            <w:r>
              <w:t xml:space="preserve"> </w:t>
            </w:r>
            <w:r>
              <w:rPr>
                <w:rFonts w:hint="eastAsia"/>
                <w:lang w:val="en-US" w:eastAsia="zh-CN"/>
              </w:rPr>
              <w:t>推进电机节能改造</w:t>
            </w:r>
          </w:p>
        </w:tc>
      </w:tr>
      <w:tr w14:paraId="60DCA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745B9978">
            <w:pPr>
              <w:pStyle w:val="61"/>
            </w:pPr>
            <w:r>
              <w:rPr>
                <w:rFonts w:hint="eastAsia"/>
              </w:rPr>
              <w:t>针对天辰化工（电石厂高耗能电机、化工厂低压电机）、天辰水泥（窑头熟料拉链机、提升机、窑尾冷却风机、均化库提升机等）、天能化工（硫酸循环泵、合成热水泵）、天能水泥（风机斩波调速节能改造、低压电容升级改造）、天伟化工（落后淘汰电动机）、天伟水泥（高耗能淘汰电机改造、10kV风机变频改造、永磁同步电动机改造、悬浮鼓风机技术改造）等实施落后电机改造及更新。</w:t>
            </w:r>
          </w:p>
        </w:tc>
      </w:tr>
    </w:tbl>
    <w:p w14:paraId="23AD4631">
      <w:pPr>
        <w:pStyle w:val="3"/>
        <w:ind w:firstLine="640"/>
        <w:rPr>
          <w:rFonts w:hint="default" w:eastAsia="楷体_GB2312"/>
          <w:lang w:val="en-US" w:eastAsia="zh-CN"/>
        </w:rPr>
      </w:pPr>
      <w:bookmarkStart w:id="76" w:name="_Toc21185"/>
      <w:r>
        <w:rPr>
          <w:rFonts w:hint="eastAsia"/>
        </w:rPr>
        <w:t>（</w:t>
      </w:r>
      <w:r>
        <w:rPr>
          <w:rFonts w:hint="eastAsia"/>
          <w:lang w:val="en-US" w:eastAsia="zh-CN"/>
        </w:rPr>
        <w:t>二</w:t>
      </w:r>
      <w:r>
        <w:rPr>
          <w:rFonts w:hint="eastAsia"/>
        </w:rPr>
        <w:t>）</w:t>
      </w:r>
      <w:r>
        <w:rPr>
          <w:rFonts w:hint="eastAsia"/>
          <w:lang w:val="en-US" w:eastAsia="zh-CN"/>
        </w:rPr>
        <w:t>加快能源绿色低碳转型</w:t>
      </w:r>
      <w:bookmarkEnd w:id="72"/>
      <w:bookmarkEnd w:id="73"/>
      <w:bookmarkEnd w:id="74"/>
      <w:bookmarkEnd w:id="75"/>
      <w:bookmarkEnd w:id="76"/>
    </w:p>
    <w:p w14:paraId="00AF45AC">
      <w:pPr>
        <w:pStyle w:val="4"/>
        <w:rPr>
          <w:rFonts w:hint="default" w:eastAsia="仿宋_GB2312"/>
          <w:lang w:val="en-US" w:eastAsia="zh-CN"/>
        </w:rPr>
      </w:pPr>
      <w:r>
        <w:rPr>
          <w:rFonts w:hint="eastAsia"/>
          <w:lang w:val="en-US" w:eastAsia="zh-CN"/>
        </w:rPr>
        <w:t>1</w:t>
      </w:r>
      <w:r>
        <w:rPr>
          <w:rFonts w:hint="eastAsia"/>
        </w:rPr>
        <w:t xml:space="preserve">. </w:t>
      </w:r>
      <w:r>
        <w:rPr>
          <w:rFonts w:hint="eastAsia"/>
          <w:lang w:val="en-US" w:eastAsia="zh-CN"/>
        </w:rPr>
        <w:t>推动煤炭清洁高效利用</w:t>
      </w:r>
    </w:p>
    <w:p w14:paraId="057D6716">
      <w:pPr>
        <w:ind w:firstLine="640"/>
        <w:rPr>
          <w:rFonts w:hint="eastAsia"/>
        </w:rPr>
      </w:pPr>
      <w:r>
        <w:rPr>
          <w:rFonts w:hint="eastAsia"/>
        </w:rPr>
        <w:t>严格合理控制煤炭消费，合理控制煤电装机规模，严禁在国家政策允许的领域以外新（扩）建燃煤自备电厂。深入贯彻落实《关于开展兵团2025年煤电机组升级改造工作的通知》要求</w:t>
      </w:r>
      <w:r>
        <w:rPr>
          <w:rFonts w:hint="eastAsia"/>
          <w:lang w:eastAsia="zh-CN"/>
        </w:rPr>
        <w:t>，</w:t>
      </w:r>
      <w:r>
        <w:rPr>
          <w:rFonts w:hint="eastAsia"/>
          <w:lang w:val="en-US" w:eastAsia="zh-CN"/>
        </w:rPr>
        <w:t>2025年全面开启全区</w:t>
      </w:r>
      <w:r>
        <w:rPr>
          <w:rFonts w:hint="eastAsia"/>
        </w:rPr>
        <w:t>煤电机组节能降碳改造、灵活性改造、供热改造“三改联动”</w:t>
      </w:r>
      <w:r>
        <w:rPr>
          <w:rFonts w:hint="eastAsia"/>
          <w:lang w:eastAsia="zh-CN"/>
        </w:rPr>
        <w:t>，</w:t>
      </w:r>
      <w:r>
        <w:rPr>
          <w:rFonts w:hint="eastAsia"/>
        </w:rPr>
        <w:t>重点推动天山铝业、合盛硅业、天业等企业自备电厂实施“三改联动”</w:t>
      </w:r>
      <w:r>
        <w:rPr>
          <w:rFonts w:hint="eastAsia"/>
          <w:lang w:eastAsia="zh-CN"/>
        </w:rPr>
        <w:t>，</w:t>
      </w:r>
      <w:r>
        <w:rPr>
          <w:rFonts w:hint="eastAsia"/>
        </w:rPr>
        <w:t>依法依规逐步对</w:t>
      </w:r>
      <w:r>
        <w:rPr>
          <w:rFonts w:hint="eastAsia"/>
          <w:lang w:val="en-US" w:eastAsia="zh-CN"/>
        </w:rPr>
        <w:t>全</w:t>
      </w:r>
      <w:r>
        <w:rPr>
          <w:rFonts w:hint="eastAsia"/>
        </w:rPr>
        <w:t>区内自备电厂实施改造、替代或搬迁</w:t>
      </w:r>
      <w:r>
        <w:rPr>
          <w:rFonts w:hint="eastAsia"/>
          <w:lang w:eastAsia="zh-CN"/>
        </w:rPr>
        <w:t>；</w:t>
      </w:r>
      <w:r>
        <w:rPr>
          <w:rFonts w:hint="eastAsia"/>
        </w:rPr>
        <w:t>充分发挥30万千瓦及以上热电联产电厂的供热能力，到2025年底，完成</w:t>
      </w:r>
      <w:r>
        <w:rPr>
          <w:rFonts w:hint="eastAsia"/>
          <w:lang w:val="en-US" w:eastAsia="zh-CN"/>
        </w:rPr>
        <w:t>全区</w:t>
      </w:r>
      <w:r>
        <w:rPr>
          <w:rFonts w:hint="eastAsia"/>
        </w:rPr>
        <w:t>范围内的燃煤锅炉和落后燃煤小热电机组（含自备电厂）的关停、整合或改造。推进煤炭分质分级利用，鼓励优质煤炭利用。推动煤电向基础保障性和系统调节性电源并重转型，加强煤炭清洁高效利用，有效减少燃煤使用和碳排放。</w:t>
      </w:r>
      <w:r>
        <w:rPr>
          <w:rFonts w:hint="eastAsia"/>
          <w:b/>
          <w:bCs/>
          <w:lang w:eastAsia="zh-CN"/>
        </w:rPr>
        <w:t>（</w:t>
      </w:r>
      <w:r>
        <w:rPr>
          <w:rFonts w:hint="eastAsia"/>
          <w:b/>
          <w:bCs/>
          <w:lang w:val="en-US" w:eastAsia="zh-CN"/>
        </w:rPr>
        <w:t>责任单位：</w:t>
      </w:r>
      <w:r>
        <w:rPr>
          <w:rFonts w:hint="eastAsia"/>
          <w:b/>
          <w:bCs/>
          <w:lang w:eastAsia="zh-CN"/>
        </w:rPr>
        <w:t>经济发展局、规划建设局</w:t>
      </w:r>
      <w:r>
        <w:rPr>
          <w:rFonts w:hint="eastAsia"/>
          <w:b/>
          <w:bCs/>
        </w:rPr>
        <w:t>、十户滩新材料工业园区管理办公室</w:t>
      </w:r>
      <w:r>
        <w:rPr>
          <w:rFonts w:hint="eastAsia"/>
          <w:b/>
          <w:bCs/>
          <w:lang w:eastAsia="zh-CN"/>
        </w:rPr>
        <w:t>）</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284C2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219C2694">
            <w:pPr>
              <w:pStyle w:val="33"/>
              <w:rPr>
                <w:rFonts w:hint="default" w:eastAsia="黑体"/>
                <w:lang w:val="en-US" w:eastAsia="zh-CN"/>
              </w:rPr>
            </w:pPr>
            <w:r>
              <w:t>专栏</w:t>
            </w:r>
            <w:r>
              <w:rPr>
                <w:rFonts w:hint="eastAsia"/>
                <w:lang w:val="en-US" w:eastAsia="zh-CN"/>
              </w:rPr>
              <w:t>二</w:t>
            </w:r>
            <w:r>
              <w:t xml:space="preserve"> </w:t>
            </w:r>
            <w:r>
              <w:rPr>
                <w:rFonts w:hint="eastAsia"/>
                <w:lang w:val="en-US" w:eastAsia="zh-CN"/>
              </w:rPr>
              <w:t>推进煤电机组改造升级</w:t>
            </w:r>
          </w:p>
        </w:tc>
      </w:tr>
      <w:tr w14:paraId="246E2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1C313DD4">
            <w:pPr>
              <w:pStyle w:val="61"/>
              <w:rPr>
                <w:rFonts w:hint="eastAsia"/>
                <w:lang w:val="en-US" w:eastAsia="zh-CN"/>
              </w:rPr>
            </w:pPr>
            <w:r>
              <w:rPr>
                <w:rFonts w:hint="eastAsia"/>
                <w:lang w:val="en-US" w:eastAsia="zh-CN"/>
              </w:rPr>
              <w:t>推动</w:t>
            </w:r>
            <w:r>
              <w:rPr>
                <w:rFonts w:hint="eastAsia"/>
              </w:rPr>
              <w:t>新疆天富能源股份有限公司天河热电分公司</w:t>
            </w:r>
            <w:r>
              <w:rPr>
                <w:rFonts w:hint="eastAsia"/>
                <w:lang w:val="en-US" w:eastAsia="zh-CN"/>
              </w:rPr>
              <w:t>#2机组开展灵活性改造、#3机组开展节能降碳改造、#4机组开展节能降碳改造与灵活性改造；</w:t>
            </w:r>
          </w:p>
          <w:p w14:paraId="14EBE5E1">
            <w:pPr>
              <w:pStyle w:val="61"/>
              <w:rPr>
                <w:rFonts w:hint="eastAsia"/>
                <w:lang w:val="en-US" w:eastAsia="zh-CN"/>
              </w:rPr>
            </w:pPr>
            <w:r>
              <w:rPr>
                <w:rFonts w:hint="eastAsia"/>
                <w:lang w:val="en-US" w:eastAsia="zh-CN"/>
              </w:rPr>
              <w:t>推动</w:t>
            </w:r>
            <w:r>
              <w:rPr>
                <w:rFonts w:hint="eastAsia"/>
              </w:rPr>
              <w:t>天伟化工有限公司天伟电厂</w:t>
            </w:r>
            <w:r>
              <w:rPr>
                <w:rFonts w:hint="eastAsia"/>
                <w:lang w:val="en-US" w:eastAsia="zh-CN"/>
              </w:rPr>
              <w:t>#1、#2机组开展灵活性改造；</w:t>
            </w:r>
          </w:p>
          <w:p w14:paraId="23D14291">
            <w:pPr>
              <w:pStyle w:val="61"/>
              <w:rPr>
                <w:rFonts w:hint="default"/>
                <w:lang w:val="en-US"/>
              </w:rPr>
            </w:pPr>
            <w:r>
              <w:rPr>
                <w:rFonts w:hint="eastAsia"/>
                <w:lang w:val="en-US" w:eastAsia="zh-CN"/>
              </w:rPr>
              <w:t>推动</w:t>
            </w:r>
            <w:r>
              <w:rPr>
                <w:rFonts w:hint="eastAsia"/>
              </w:rPr>
              <w:t>天能化工有限公司天能电厂</w:t>
            </w:r>
            <w:r>
              <w:rPr>
                <w:rFonts w:hint="eastAsia"/>
                <w:lang w:val="en-US" w:eastAsia="zh-CN"/>
              </w:rPr>
              <w:t>#11、#12机组开展节能降碳改造、灵活性改造与供热改造；</w:t>
            </w:r>
          </w:p>
          <w:p w14:paraId="5B8F5C60">
            <w:pPr>
              <w:pStyle w:val="61"/>
              <w:rPr>
                <w:rFonts w:hint="eastAsia"/>
                <w:lang w:val="en-US" w:eastAsia="zh-CN"/>
              </w:rPr>
            </w:pPr>
            <w:r>
              <w:rPr>
                <w:rFonts w:hint="eastAsia"/>
                <w:lang w:val="en-US" w:eastAsia="zh-CN"/>
              </w:rPr>
              <w:t>推动</w:t>
            </w:r>
            <w:r>
              <w:rPr>
                <w:rFonts w:hint="eastAsia"/>
              </w:rPr>
              <w:t>石河子市天瑞能源有限公司</w:t>
            </w:r>
            <w:r>
              <w:rPr>
                <w:rFonts w:hint="eastAsia"/>
                <w:lang w:val="en-US" w:eastAsia="zh-CN"/>
              </w:rPr>
              <w:t>#2机组开展供热改造、#3机组开展节能降碳改造与灵活性改造、#10机组开展节能降碳改造；</w:t>
            </w:r>
          </w:p>
          <w:p w14:paraId="2405E202">
            <w:pPr>
              <w:pStyle w:val="61"/>
              <w:rPr>
                <w:rFonts w:hint="eastAsia"/>
                <w:lang w:val="en-US" w:eastAsia="zh-CN"/>
              </w:rPr>
            </w:pPr>
            <w:r>
              <w:rPr>
                <w:rFonts w:hint="eastAsia"/>
                <w:lang w:val="en-US" w:eastAsia="zh-CN"/>
              </w:rPr>
              <w:t>推动</w:t>
            </w:r>
            <w:r>
              <w:rPr>
                <w:rFonts w:hint="eastAsia"/>
              </w:rPr>
              <w:t>新疆西部合盛热电有限公司</w:t>
            </w:r>
            <w:r>
              <w:rPr>
                <w:rFonts w:hint="eastAsia"/>
                <w:lang w:val="en-US" w:eastAsia="zh-CN"/>
              </w:rPr>
              <w:t>#1、#2机组开展节能降碳改造与灵活性改造。</w:t>
            </w:r>
          </w:p>
        </w:tc>
      </w:tr>
    </w:tbl>
    <w:p w14:paraId="538A7A11">
      <w:pPr>
        <w:pStyle w:val="4"/>
      </w:pPr>
      <w:r>
        <w:rPr>
          <w:rFonts w:hint="eastAsia"/>
          <w:lang w:val="en-US" w:eastAsia="zh-CN"/>
        </w:rPr>
        <w:t>2</w:t>
      </w:r>
      <w:r>
        <w:t xml:space="preserve">. </w:t>
      </w:r>
      <w:r>
        <w:rPr>
          <w:rFonts w:hint="eastAsia"/>
          <w:lang w:val="en-US" w:eastAsia="zh-CN"/>
        </w:rPr>
        <w:t>推动可再生能源消纳</w:t>
      </w:r>
    </w:p>
    <w:p w14:paraId="74419BFB">
      <w:pPr>
        <w:ind w:firstLine="643"/>
        <w:rPr>
          <w:rFonts w:hint="eastAsia"/>
        </w:rPr>
      </w:pPr>
      <w:r>
        <w:rPr>
          <w:rFonts w:hint="eastAsia"/>
        </w:rPr>
        <w:t>引导企业加大可再生能源消纳力度，全面提升可再生能源消纳能力，依托师市集中式光伏项目建设，全力争取绿电资源，以铝、硅产业重点企业为核心，加大可再生能源消纳，推动能源消费侧结构转型，2025年底前，实现“可再生能源发电”消纳不低于</w:t>
      </w:r>
      <w:r>
        <w:rPr>
          <w:rFonts w:hint="eastAsia"/>
          <w:lang w:val="en-US" w:eastAsia="zh-CN"/>
        </w:rPr>
        <w:t>40</w:t>
      </w:r>
      <w:r>
        <w:rPr>
          <w:rFonts w:hint="eastAsia"/>
        </w:rPr>
        <w:t>亿千瓦时。鼓励企业通过投资可再生能源发电项目、参与分布式发电市场化交易、购买绿色电力证书等方式选用清洁能源，提高清洁能源消费比重，从源头减少碳排放。推进</w:t>
      </w:r>
      <w:r>
        <w:rPr>
          <w:rFonts w:hint="eastAsia"/>
          <w:lang w:val="en-US" w:eastAsia="zh-CN"/>
        </w:rPr>
        <w:t>储能产业</w:t>
      </w:r>
      <w:r>
        <w:rPr>
          <w:rFonts w:hint="eastAsia"/>
        </w:rPr>
        <w:t>发展，</w:t>
      </w:r>
      <w:r>
        <w:rPr>
          <w:rFonts w:hint="eastAsia"/>
          <w:lang w:val="en-US" w:eastAsia="zh-CN"/>
        </w:rPr>
        <w:t>推动新疆天采能源科技有限公司10GWh先进储能系统产业园（一期）</w:t>
      </w:r>
      <w:r>
        <w:rPr>
          <w:rFonts w:hint="eastAsia"/>
        </w:rPr>
        <w:t>项目建设。大力推进绿氢示范，以国华（石河子）新能源有限公司为重点建设绿氢减碳创新应用示范项目。</w:t>
      </w:r>
      <w:r>
        <w:rPr>
          <w:rFonts w:hint="eastAsia"/>
          <w:b/>
          <w:bCs/>
          <w:lang w:eastAsia="zh-CN"/>
        </w:rPr>
        <w:t>（</w:t>
      </w:r>
      <w:r>
        <w:rPr>
          <w:rFonts w:hint="eastAsia"/>
          <w:b/>
          <w:bCs/>
          <w:lang w:val="en-US" w:eastAsia="zh-CN"/>
        </w:rPr>
        <w:t>责任单位：</w:t>
      </w:r>
      <w:r>
        <w:rPr>
          <w:rFonts w:hint="eastAsia"/>
          <w:b/>
          <w:bCs/>
          <w:lang w:eastAsia="zh-CN"/>
        </w:rPr>
        <w:t>经济发展局、投资促进局、规划建设局</w:t>
      </w:r>
      <w:r>
        <w:rPr>
          <w:rFonts w:hint="eastAsia"/>
          <w:b/>
          <w:bCs/>
        </w:rPr>
        <w:t>、十户滩新材料工业园区管理办公室</w:t>
      </w:r>
      <w:r>
        <w:rPr>
          <w:rFonts w:hint="eastAsia"/>
          <w:b/>
          <w:bCs/>
          <w:lang w:eastAsia="zh-CN"/>
        </w:rPr>
        <w:t>）</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06AEF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71BA008D">
            <w:pPr>
              <w:pStyle w:val="33"/>
              <w:rPr>
                <w:rFonts w:hint="default" w:eastAsia="黑体"/>
                <w:lang w:val="en-US" w:eastAsia="zh-CN"/>
              </w:rPr>
            </w:pPr>
            <w:r>
              <w:t>专栏</w:t>
            </w:r>
            <w:r>
              <w:rPr>
                <w:rFonts w:hint="eastAsia"/>
                <w:lang w:val="en-US" w:eastAsia="zh-CN"/>
              </w:rPr>
              <w:t>三</w:t>
            </w:r>
            <w:r>
              <w:t xml:space="preserve"> </w:t>
            </w:r>
            <w:r>
              <w:rPr>
                <w:rFonts w:hint="eastAsia"/>
              </w:rPr>
              <w:t>国华（石河子）新能源有限公司绿氢减碳创新应用示范项目</w:t>
            </w:r>
          </w:p>
        </w:tc>
      </w:tr>
      <w:tr w14:paraId="4CC4F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782C63B3">
            <w:pPr>
              <w:pStyle w:val="61"/>
              <w:rPr>
                <w:rFonts w:hint="eastAsia" w:eastAsia="宋体"/>
                <w:lang w:eastAsia="zh-CN"/>
              </w:rPr>
            </w:pPr>
            <w:r>
              <w:rPr>
                <w:rFonts w:hint="eastAsia"/>
                <w:b/>
                <w:bCs/>
              </w:rPr>
              <w:t>国华（石河子）新能源有限公司绿氢减碳创新应用示范项目</w:t>
            </w:r>
            <w:r>
              <w:rPr>
                <w:rFonts w:hint="eastAsia"/>
                <w:lang w:eastAsia="zh-CN"/>
              </w:rPr>
              <w:t>：</w:t>
            </w:r>
            <w:r>
              <w:rPr>
                <w:rFonts w:hint="eastAsia"/>
              </w:rPr>
              <w:t>项目计划总投资1.96亿元，用地42亩，建设一座年产727.2吨的电解水制氢工厂（1000Nm</w:t>
            </w:r>
            <w:r>
              <w:rPr>
                <w:rFonts w:hint="eastAsia"/>
                <w:vertAlign w:val="superscript"/>
                <w:lang w:val="en-US" w:eastAsia="zh-CN"/>
              </w:rPr>
              <w:t>3</w:t>
            </w:r>
            <w:r>
              <w:rPr>
                <w:rFonts w:hint="eastAsia"/>
              </w:rPr>
              <w:t>/h）、一座年产2181.6吨的制氢工厂（3000Nm³/h）、四座加氢站（2000kg/天）</w:t>
            </w:r>
            <w:r>
              <w:rPr>
                <w:rFonts w:hint="eastAsia"/>
                <w:lang w:val="en-US" w:eastAsia="zh-CN"/>
              </w:rPr>
              <w:t>，</w:t>
            </w:r>
            <w:r>
              <w:rPr>
                <w:rFonts w:hint="eastAsia"/>
              </w:rPr>
              <w:t>建设周期为2024年7月</w:t>
            </w:r>
            <w:r>
              <w:rPr>
                <w:rFonts w:hint="eastAsia"/>
                <w:lang w:val="en-US" w:eastAsia="zh-CN"/>
              </w:rPr>
              <w:t>至</w:t>
            </w:r>
            <w:r>
              <w:rPr>
                <w:rFonts w:hint="eastAsia"/>
              </w:rPr>
              <w:t>2026年12月</w:t>
            </w:r>
            <w:r>
              <w:rPr>
                <w:rFonts w:hint="eastAsia"/>
                <w:lang w:eastAsia="zh-CN"/>
              </w:rPr>
              <w:t>。</w:t>
            </w:r>
          </w:p>
        </w:tc>
      </w:tr>
    </w:tbl>
    <w:p w14:paraId="1D6DDDA2">
      <w:pPr>
        <w:pStyle w:val="4"/>
      </w:pPr>
      <w:r>
        <w:rPr>
          <w:rFonts w:hint="eastAsia"/>
          <w:lang w:val="en-US" w:eastAsia="zh-CN"/>
        </w:rPr>
        <w:t>3</w:t>
      </w:r>
      <w:r>
        <w:t xml:space="preserve">. </w:t>
      </w:r>
      <w:r>
        <w:rPr>
          <w:rFonts w:hint="eastAsia"/>
        </w:rPr>
        <w:t>建设新型电力系统</w:t>
      </w:r>
    </w:p>
    <w:p w14:paraId="3D0098DE">
      <w:pPr>
        <w:ind w:firstLine="640"/>
      </w:pPr>
      <w:r>
        <w:rPr>
          <w:rFonts w:hint="eastAsia"/>
        </w:rPr>
        <w:t>依托第八师石河子市构建新能源占比逐渐提高的新型电力系统，推动清洁电力资源大范围优化配置。大力提升电力系统综合调节能力，加快灵活调节电源建设，引导自备电厂、传统高载能工业负荷、工商业可中断负荷、电动汽车充电网络、虚拟电厂等参与系统调节。建设开发区绿色能源服务平台，建设智能电网，提升电网安全保障水平。积极参与自治区乃至全国层面煤电低碳化改造建设项目碳减排量核算方法制定。推动对掺烧生物质发电、加装碳捕集利用与封存设施部分电量予以单独计量。鼓励电网企业优化电力运行调度方案，优先支持碳减排效果突出的煤电低碳化改造建设项目接入电网，对项目的可再生能源发电量或零碳发电量予以优先上网</w:t>
      </w:r>
      <w:r>
        <w:t>。</w:t>
      </w:r>
      <w:r>
        <w:rPr>
          <w:rFonts w:hint="eastAsia"/>
          <w:b/>
          <w:bCs/>
          <w:lang w:eastAsia="zh-CN"/>
        </w:rPr>
        <w:t>（</w:t>
      </w:r>
      <w:r>
        <w:rPr>
          <w:rFonts w:hint="eastAsia"/>
          <w:b/>
          <w:bCs/>
          <w:lang w:val="en-US" w:eastAsia="zh-CN"/>
        </w:rPr>
        <w:t>责任单位：</w:t>
      </w:r>
      <w:r>
        <w:rPr>
          <w:rFonts w:hint="eastAsia"/>
          <w:b/>
          <w:bCs/>
          <w:lang w:eastAsia="zh-CN"/>
        </w:rPr>
        <w:t>经济发展局、投资促进局、规划建设局</w:t>
      </w:r>
      <w:r>
        <w:rPr>
          <w:rFonts w:hint="eastAsia"/>
          <w:b/>
          <w:bCs/>
        </w:rPr>
        <w:t>、十户滩新材料工业园区管理办公室</w:t>
      </w:r>
      <w:r>
        <w:rPr>
          <w:rFonts w:hint="eastAsia"/>
          <w:b/>
          <w:bCs/>
          <w:lang w:eastAsia="zh-CN"/>
        </w:rPr>
        <w:t>）</w:t>
      </w:r>
    </w:p>
    <w:p w14:paraId="348C2C20">
      <w:pPr>
        <w:pStyle w:val="3"/>
        <w:ind w:firstLine="640"/>
      </w:pPr>
      <w:bookmarkStart w:id="77" w:name="_Toc20610"/>
      <w:bookmarkStart w:id="78" w:name="_Toc20574"/>
      <w:bookmarkStart w:id="79" w:name="_Toc20491"/>
      <w:bookmarkStart w:id="80" w:name="_Toc12726"/>
      <w:bookmarkStart w:id="81" w:name="_Toc13464"/>
      <w:r>
        <w:rPr>
          <w:rFonts w:hint="eastAsia"/>
        </w:rPr>
        <w:t>（三）</w:t>
      </w:r>
      <w:r>
        <w:rPr>
          <w:rFonts w:hint="eastAsia"/>
          <w:lang w:val="en-US" w:eastAsia="zh-CN"/>
        </w:rPr>
        <w:t>提升基础设施绿色低碳水平</w:t>
      </w:r>
      <w:bookmarkEnd w:id="77"/>
      <w:bookmarkEnd w:id="78"/>
      <w:bookmarkEnd w:id="79"/>
      <w:bookmarkEnd w:id="80"/>
      <w:bookmarkEnd w:id="81"/>
    </w:p>
    <w:p w14:paraId="4D236AF3">
      <w:pPr>
        <w:pStyle w:val="4"/>
        <w:rPr>
          <w:rFonts w:hint="eastAsia" w:eastAsia="仿宋_GB2312"/>
          <w:lang w:val="en-US" w:eastAsia="zh-CN"/>
        </w:rPr>
      </w:pPr>
      <w:r>
        <w:t xml:space="preserve">1. </w:t>
      </w:r>
      <w:r>
        <w:rPr>
          <w:rFonts w:hint="eastAsia"/>
          <w:lang w:val="en-US" w:eastAsia="zh-CN"/>
        </w:rPr>
        <w:t>推进绿色</w:t>
      </w:r>
      <w:r>
        <w:rPr>
          <w:rFonts w:hint="eastAsia"/>
        </w:rPr>
        <w:t>基础设施</w:t>
      </w:r>
      <w:r>
        <w:rPr>
          <w:rFonts w:hint="eastAsia"/>
          <w:lang w:val="en-US" w:eastAsia="zh-CN"/>
        </w:rPr>
        <w:t>建设</w:t>
      </w:r>
    </w:p>
    <w:p w14:paraId="2709BA74">
      <w:pPr>
        <w:ind w:firstLine="640"/>
        <w:rPr>
          <w:rFonts w:hint="default" w:eastAsia="仿宋_GB2312"/>
          <w:lang w:val="en-US" w:eastAsia="zh-CN"/>
        </w:rPr>
      </w:pPr>
      <w:r>
        <w:rPr>
          <w:rFonts w:hint="eastAsia"/>
        </w:rPr>
        <w:t>发挥空间规划先导作用，因地制宜画好绿色基础设施规划图</w:t>
      </w:r>
      <w:r>
        <w:rPr>
          <w:rFonts w:hint="eastAsia"/>
          <w:lang w:eastAsia="zh-CN"/>
        </w:rPr>
        <w:t>。</w:t>
      </w:r>
      <w:r>
        <w:t>在国土空间规划、区域建设和运营管理等各环节全面践行绿色低碳理念，优化区域空间布局，</w:t>
      </w:r>
      <w:r>
        <w:rPr>
          <w:rFonts w:hint="eastAsia"/>
          <w:lang w:val="en-US" w:eastAsia="zh-CN"/>
        </w:rPr>
        <w:t>推动经开区</w:t>
      </w:r>
      <w:r>
        <w:t>建设成为集制造、研发、办公于一体的生态型、低密度、智能化第三代新型产业园区。</w:t>
      </w:r>
      <w:r>
        <w:rPr>
          <w:rFonts w:hint="eastAsia"/>
        </w:rPr>
        <w:t>坚守生态保护红线</w:t>
      </w:r>
      <w:r>
        <w:rPr>
          <w:rFonts w:hint="eastAsia"/>
          <w:lang w:eastAsia="zh-CN"/>
        </w:rPr>
        <w:t>，科学开展生态保护与污染防治工作，实现生态功能修复、环境质量改善、城市治理水平提升，</w:t>
      </w:r>
      <w:r>
        <w:rPr>
          <w:rFonts w:hint="eastAsia"/>
          <w:lang w:val="en-US" w:eastAsia="zh-CN"/>
        </w:rPr>
        <w:t>鼓励搭建生态环境管控数据应用平台。</w:t>
      </w:r>
      <w:r>
        <w:rPr>
          <w:rFonts w:hint="eastAsia"/>
        </w:rPr>
        <w:t>以新质生产力为引领，将生态低碳理念与科技创新深度融合，推动绿色转型和产业升级，提高绿色基础设施的建设质量和运营能力</w:t>
      </w:r>
      <w:r>
        <w:rPr>
          <w:rFonts w:hint="eastAsia"/>
          <w:lang w:eastAsia="zh-CN"/>
        </w:rPr>
        <w:t>，</w:t>
      </w:r>
      <w:r>
        <w:rPr>
          <w:rFonts w:hint="eastAsia"/>
          <w:lang w:val="en-US" w:eastAsia="zh-CN"/>
        </w:rPr>
        <w:t>鼓励绿色低碳表现良好企业探索开展零碳工厂建设。</w:t>
      </w:r>
      <w:r>
        <w:rPr>
          <w:rFonts w:hint="eastAsia"/>
          <w:b/>
          <w:bCs/>
          <w:lang w:eastAsia="zh-CN"/>
        </w:rPr>
        <w:t>（</w:t>
      </w:r>
      <w:r>
        <w:rPr>
          <w:rFonts w:hint="eastAsia"/>
          <w:b/>
          <w:bCs/>
          <w:lang w:val="en-US" w:eastAsia="zh-CN"/>
        </w:rPr>
        <w:t>责任单位：</w:t>
      </w:r>
      <w:r>
        <w:rPr>
          <w:rFonts w:hint="eastAsia"/>
          <w:b/>
          <w:bCs/>
          <w:lang w:eastAsia="zh-CN"/>
        </w:rPr>
        <w:t>经济发展局、投资促进局）</w:t>
      </w:r>
    </w:p>
    <w:p w14:paraId="405E932E">
      <w:pPr>
        <w:pStyle w:val="4"/>
        <w:rPr>
          <w:rFonts w:hint="default" w:eastAsia="仿宋_GB2312"/>
          <w:lang w:val="en-US" w:eastAsia="zh-CN"/>
        </w:rPr>
      </w:pPr>
      <w:r>
        <w:rPr>
          <w:rFonts w:hint="eastAsia"/>
        </w:rPr>
        <w:t>2</w:t>
      </w:r>
      <w:r>
        <w:t xml:space="preserve">. </w:t>
      </w:r>
      <w:r>
        <w:rPr>
          <w:rFonts w:hint="eastAsia"/>
          <w:lang w:val="en-US" w:eastAsia="zh-CN"/>
        </w:rPr>
        <w:t>推动建筑绿色低碳发展</w:t>
      </w:r>
    </w:p>
    <w:p w14:paraId="0B18B1BB">
      <w:pPr>
        <w:ind w:firstLine="643"/>
      </w:pPr>
      <w:r>
        <w:rPr>
          <w:rFonts w:hint="eastAsia"/>
          <w:b/>
          <w:bCs/>
        </w:rPr>
        <w:t>推动低碳建筑规模化发展，</w:t>
      </w:r>
      <w:r>
        <w:rPr>
          <w:rFonts w:hint="eastAsia"/>
        </w:rPr>
        <w:t>鼓励建设零碳建筑和近零能耗建筑。严格执行建筑节能降碳强制性标准，推进绿色低碳建造，强化绿色设计和施工管理，研发推广新型建材及先进技术</w:t>
      </w:r>
      <w:r>
        <w:rPr>
          <w:rFonts w:hint="eastAsia"/>
          <w:lang w:eastAsia="zh-CN"/>
        </w:rPr>
        <w:t>，</w:t>
      </w:r>
      <w:r>
        <w:rPr>
          <w:rFonts w:hint="eastAsia"/>
        </w:rPr>
        <w:t>推动超低能耗建筑、低碳建筑规模化发展。大力发展装配式建筑，积极推动智能建造，优先选用获得绿色建材认证标识的建材产品。推进公共建筑能耗监测和统计分析，加强空调、照明、电梯等重点用能设备运行调试，提升设备能效。</w:t>
      </w:r>
      <w:r>
        <w:rPr>
          <w:rFonts w:hint="eastAsia"/>
          <w:b/>
          <w:bCs/>
          <w:lang w:eastAsia="zh-CN"/>
        </w:rPr>
        <w:t>（</w:t>
      </w:r>
      <w:r>
        <w:rPr>
          <w:rFonts w:hint="eastAsia"/>
          <w:b/>
          <w:bCs/>
          <w:lang w:val="en-US" w:eastAsia="zh-CN"/>
        </w:rPr>
        <w:t>责任单位：</w:t>
      </w:r>
      <w:r>
        <w:rPr>
          <w:rFonts w:hint="eastAsia"/>
          <w:b/>
          <w:bCs/>
          <w:lang w:eastAsia="zh-CN"/>
        </w:rPr>
        <w:t>经济发展局、投资促进局、规划建设局）</w:t>
      </w:r>
    </w:p>
    <w:p w14:paraId="38E355A0">
      <w:pPr>
        <w:ind w:firstLine="643"/>
      </w:pPr>
      <w:r>
        <w:rPr>
          <w:rFonts w:hint="eastAsia"/>
          <w:b/>
          <w:bCs/>
        </w:rPr>
        <w:t>推动建筑用能清洁低碳化。</w:t>
      </w:r>
      <w:r>
        <w:rPr>
          <w:rFonts w:hint="eastAsia"/>
        </w:rPr>
        <w:t>在建筑空调、生活热水、炊事等用能领域推广高效电气化应用技术与设备，在办公楼等建筑推广应用热泵、电蓄冷空调等</w:t>
      </w:r>
      <w:r>
        <w:rPr>
          <w:rFonts w:hint="eastAsia"/>
          <w:lang w:eastAsia="zh-CN"/>
        </w:rPr>
        <w:t>，</w:t>
      </w:r>
      <w:r>
        <w:rPr>
          <w:rFonts w:hint="eastAsia"/>
        </w:rPr>
        <w:t>提高建筑终端电气化水平。鼓励建设以“光储直柔”为特征的新型建筑电力系统，发展柔性用电建筑，实现用电需求灵活可调整，适应光伏发电大比例接入，使建筑供配电系统简单化、高效化。加强高品质绿色建筑项目建设，大力发展超低能耗、近零能耗、零能耗建筑，推动政府投资项目率先示范，持续开展绿色建筑示范区建设。</w:t>
      </w:r>
      <w:r>
        <w:rPr>
          <w:rFonts w:hint="eastAsia"/>
          <w:b/>
          <w:bCs/>
          <w:lang w:eastAsia="zh-CN"/>
        </w:rPr>
        <w:t>（</w:t>
      </w:r>
      <w:r>
        <w:rPr>
          <w:rFonts w:hint="eastAsia"/>
          <w:b/>
          <w:bCs/>
          <w:lang w:val="en-US" w:eastAsia="zh-CN"/>
        </w:rPr>
        <w:t>责任单位：</w:t>
      </w:r>
      <w:r>
        <w:rPr>
          <w:rFonts w:hint="eastAsia"/>
          <w:b/>
          <w:bCs/>
          <w:lang w:eastAsia="zh-CN"/>
        </w:rPr>
        <w:t>经济发展局、投资促进局、规划建设局）</w:t>
      </w:r>
    </w:p>
    <w:p w14:paraId="53384A4E">
      <w:pPr>
        <w:pStyle w:val="4"/>
        <w:rPr>
          <w:rFonts w:hint="default" w:eastAsia="仿宋_GB2312"/>
          <w:lang w:val="en-US" w:eastAsia="zh-CN"/>
        </w:rPr>
      </w:pPr>
      <w:r>
        <w:t>3</w:t>
      </w:r>
      <w:r>
        <w:rPr>
          <w:rFonts w:hint="eastAsia"/>
        </w:rPr>
        <w:t xml:space="preserve">. </w:t>
      </w:r>
      <w:r>
        <w:rPr>
          <w:rFonts w:hint="eastAsia"/>
          <w:lang w:val="en-US" w:eastAsia="zh-CN"/>
        </w:rPr>
        <w:t>推动交通运输低碳转型</w:t>
      </w:r>
    </w:p>
    <w:p w14:paraId="245A22EB">
      <w:pPr>
        <w:ind w:firstLine="643"/>
      </w:pPr>
      <w:r>
        <w:rPr>
          <w:rFonts w:hint="eastAsia"/>
          <w:b/>
          <w:bCs/>
        </w:rPr>
        <w:t>构建绿色低碳交通运输体系。</w:t>
      </w:r>
      <w:r>
        <w:rPr>
          <w:rFonts w:hint="eastAsia"/>
        </w:rPr>
        <w:t>积极发展智能交通，推动不同运输方式合理分工、有效衔接，降低空载率和不合理客货运周转量。推广高效运输组织模式，持续推动大宗货物、集装箱运输“公转铁”，鼓励引导企业“散改集”，中长距离运输主要采用铁路运输，短距离运输优先采用新能源车，持续降低运输业能耗和碳排放强度。</w:t>
      </w:r>
      <w:r>
        <w:rPr>
          <w:rFonts w:hint="eastAsia"/>
          <w:highlight w:val="yellow"/>
        </w:rPr>
        <w:t>推动物流产业园区和大中型工矿企业铁路专用线规划建设，降低运输成本及运输车次。</w:t>
      </w:r>
      <w:r>
        <w:rPr>
          <w:rFonts w:hint="eastAsia"/>
        </w:rPr>
        <w:t>推动运输工具装备低碳转型，以运输设备电气化、氢能替代为重点，实施厂区内运输设备，尤其是倒短车辆的电气化替代，逐步将燃油拖车、叉车等更换为电动拖车、叉车</w:t>
      </w:r>
      <w:r>
        <w:rPr>
          <w:rFonts w:hint="eastAsia"/>
          <w:lang w:eastAsia="zh-CN"/>
        </w:rPr>
        <w:t>。</w:t>
      </w:r>
      <w:r>
        <w:rPr>
          <w:rFonts w:hint="eastAsia"/>
          <w:b/>
          <w:bCs/>
          <w:lang w:eastAsia="zh-CN"/>
        </w:rPr>
        <w:t>（</w:t>
      </w:r>
      <w:r>
        <w:rPr>
          <w:rFonts w:hint="eastAsia"/>
          <w:b/>
          <w:bCs/>
          <w:lang w:val="en-US" w:eastAsia="zh-CN"/>
        </w:rPr>
        <w:t>责任单位：</w:t>
      </w:r>
      <w:r>
        <w:rPr>
          <w:rFonts w:hint="eastAsia"/>
          <w:b/>
          <w:bCs/>
          <w:lang w:eastAsia="zh-CN"/>
        </w:rPr>
        <w:t>经济发展局、投资促进局、规划建设局）</w:t>
      </w:r>
    </w:p>
    <w:p w14:paraId="4AF9C9A0">
      <w:pPr>
        <w:ind w:firstLine="643"/>
      </w:pPr>
      <w:r>
        <w:rPr>
          <w:rFonts w:hint="eastAsia"/>
          <w:b/>
          <w:bCs/>
        </w:rPr>
        <w:t>推进物流企业低碳发展。</w:t>
      </w:r>
      <w:r>
        <w:rPr>
          <w:rFonts w:hint="eastAsia"/>
        </w:rPr>
        <w:t>在物流、运输行业，积极引导相关企业扩大电力、氢能、天然气等新能源、清洁能源应用。大力推广新能源运输工具，推动公共领域车辆电动化，有序推广新能源中重型货车，发展零排放货运车队，逐步降低物流企业传统燃油汽车占比，推广电力、氢燃料、液化天然气动力重型货运车辆在企业中的使用</w:t>
      </w:r>
      <w:r>
        <w:rPr>
          <w:rFonts w:hint="eastAsia"/>
          <w:lang w:eastAsia="zh-CN"/>
        </w:rPr>
        <w:t>，</w:t>
      </w:r>
      <w:r>
        <w:rPr>
          <w:rFonts w:hint="eastAsia"/>
        </w:rPr>
        <w:t>大力实施新疆天富易通公司柴油重卡更新项目。</w:t>
      </w:r>
      <w:r>
        <w:rPr>
          <w:rFonts w:hint="eastAsia"/>
          <w:b/>
          <w:bCs/>
          <w:lang w:eastAsia="zh-CN"/>
        </w:rPr>
        <w:t>（</w:t>
      </w:r>
      <w:r>
        <w:rPr>
          <w:rFonts w:hint="eastAsia"/>
          <w:b/>
          <w:bCs/>
          <w:lang w:val="en-US" w:eastAsia="zh-CN"/>
        </w:rPr>
        <w:t>责任单位：</w:t>
      </w:r>
      <w:r>
        <w:rPr>
          <w:rFonts w:hint="eastAsia"/>
          <w:b/>
          <w:bCs/>
          <w:lang w:eastAsia="zh-CN"/>
        </w:rPr>
        <w:t>经济发展局、投资促进局、规划建设局）</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50520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11DB6A4D">
            <w:pPr>
              <w:pStyle w:val="33"/>
            </w:pPr>
            <w:r>
              <w:rPr>
                <w:rFonts w:hint="eastAsia"/>
                <w:highlight w:val="yellow"/>
              </w:rPr>
              <w:t>专栏</w:t>
            </w:r>
            <w:r>
              <w:rPr>
                <w:rFonts w:hint="eastAsia"/>
                <w:highlight w:val="yellow"/>
                <w:lang w:val="en-US" w:eastAsia="zh-CN"/>
              </w:rPr>
              <w:t>四</w:t>
            </w:r>
            <w:r>
              <w:rPr>
                <w:highlight w:val="yellow"/>
              </w:rPr>
              <w:t xml:space="preserve"> </w:t>
            </w:r>
            <w:r>
              <w:rPr>
                <w:rFonts w:hint="eastAsia"/>
                <w:highlight w:val="yellow"/>
              </w:rPr>
              <w:t>交通运输低碳转型</w:t>
            </w:r>
          </w:p>
        </w:tc>
      </w:tr>
      <w:tr w14:paraId="0B9D8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10D06AC4">
            <w:pPr>
              <w:pStyle w:val="61"/>
              <w:rPr>
                <w:rFonts w:hint="eastAsia"/>
                <w:lang w:eastAsia="zh-CN"/>
              </w:rPr>
            </w:pPr>
            <w:r>
              <w:rPr>
                <w:rFonts w:hint="eastAsia"/>
                <w:lang w:eastAsia="zh-CN"/>
              </w:rPr>
              <w:t>积极推进化工新材料产业园铁路专用线项目建设。化工新材料产业园铁路专用新建线路正线全长9.881km，新建工厂站2座，集装箱堆场1座。其中：铺轨长度19.018km；改移道路1.748km；新建框架桥2座，20.8延长米，172.3顶m2，新建盖板箱涵5座，128.9横延米，新建框架涵5座，94.22横长米；新建房屋7110m。</w:t>
            </w:r>
          </w:p>
          <w:p w14:paraId="39C91F12">
            <w:pPr>
              <w:pStyle w:val="61"/>
            </w:pPr>
            <w:r>
              <w:rPr>
                <w:rFonts w:hint="eastAsia"/>
                <w:lang w:eastAsia="zh-CN"/>
              </w:rPr>
              <w:t>加快推动老旧柴油汽车“以旧换新”。2025年底前基本淘汰国三及以下排放标准的柴油和燃气汽车（含场内车辆），推动淘汰国三及以下排放标准的汽油车。202</w:t>
            </w:r>
            <w:r>
              <w:rPr>
                <w:rFonts w:hint="eastAsia"/>
                <w:lang w:val="en-US" w:eastAsia="zh-CN"/>
              </w:rPr>
              <w:t>7</w:t>
            </w:r>
            <w:r>
              <w:rPr>
                <w:rFonts w:hint="eastAsia"/>
                <w:lang w:eastAsia="zh-CN"/>
              </w:rPr>
              <w:t>年底前，城市服务领域物流、环卫等新增及更新的车辆中新能源汽车占比不低于55%</w:t>
            </w:r>
            <w:r>
              <w:t>。</w:t>
            </w:r>
          </w:p>
        </w:tc>
      </w:tr>
    </w:tbl>
    <w:p w14:paraId="50B415F9">
      <w:pPr>
        <w:pStyle w:val="3"/>
        <w:ind w:firstLine="640"/>
      </w:pPr>
      <w:bookmarkStart w:id="82" w:name="_Toc30794"/>
      <w:bookmarkStart w:id="83" w:name="_Toc23043"/>
      <w:bookmarkStart w:id="84" w:name="_Toc27032"/>
      <w:bookmarkStart w:id="85" w:name="_Toc25209"/>
      <w:bookmarkStart w:id="86" w:name="_Toc11"/>
      <w:r>
        <w:rPr>
          <w:rFonts w:hint="eastAsia"/>
        </w:rPr>
        <w:t>（四）大力推动资源循环利用</w:t>
      </w:r>
      <w:bookmarkEnd w:id="82"/>
      <w:bookmarkEnd w:id="83"/>
      <w:bookmarkEnd w:id="84"/>
      <w:bookmarkEnd w:id="85"/>
      <w:bookmarkEnd w:id="86"/>
    </w:p>
    <w:p w14:paraId="14FEB31A">
      <w:pPr>
        <w:pStyle w:val="4"/>
        <w:rPr>
          <w:rFonts w:hint="default" w:eastAsia="仿宋_GB2312"/>
          <w:lang w:val="en-US" w:eastAsia="zh-CN"/>
        </w:rPr>
      </w:pPr>
      <w:r>
        <w:rPr>
          <w:rFonts w:hint="eastAsia"/>
          <w:lang w:val="en-US" w:eastAsia="zh-CN"/>
        </w:rPr>
        <w:t>1</w:t>
      </w:r>
      <w:r>
        <w:t xml:space="preserve">. </w:t>
      </w:r>
      <w:r>
        <w:rPr>
          <w:rFonts w:hint="eastAsia"/>
          <w:lang w:val="en-US" w:eastAsia="zh-CN"/>
        </w:rPr>
        <w:t>深化资源循环利用体系建设</w:t>
      </w:r>
    </w:p>
    <w:p w14:paraId="4E3F360E">
      <w:pPr>
        <w:ind w:firstLine="640"/>
      </w:pPr>
      <w:r>
        <w:rPr>
          <w:rFonts w:hint="eastAsia"/>
        </w:rPr>
        <w:t>持续巩固国家园区循环化改造示范试点成果，不断推动产业转型升级，做大做强煤化工、氯碱化工、硅基材料、铝基材料、纺织服装、生物健康等优势产业。大力发挥龙头企业产业链带动作用，重点引进科技含量高、资源集约利用程度高、循环经济特征明显的重点项目。</w:t>
      </w:r>
      <w:r>
        <w:rPr>
          <w:rFonts w:hint="eastAsia"/>
          <w:lang w:val="en-US" w:eastAsia="zh-CN"/>
        </w:rPr>
        <w:t>促进全区废弃物综合利用，</w:t>
      </w:r>
      <w:r>
        <w:rPr>
          <w:rFonts w:hint="eastAsia"/>
        </w:rPr>
        <w:t>深化能源</w:t>
      </w:r>
      <w:r>
        <w:rPr>
          <w:rFonts w:hint="eastAsia"/>
          <w:lang w:val="en-US" w:eastAsia="zh-CN"/>
        </w:rPr>
        <w:t>资源</w:t>
      </w:r>
      <w:r>
        <w:rPr>
          <w:rFonts w:hint="eastAsia"/>
        </w:rPr>
        <w:t>梯级利用，</w:t>
      </w:r>
      <w:r>
        <w:rPr>
          <w:rFonts w:hint="eastAsia"/>
          <w:lang w:val="en-US" w:eastAsia="zh-CN"/>
        </w:rPr>
        <w:t>推进工业余热余压、废气废液废渣资源化利用，</w:t>
      </w:r>
      <w:r>
        <w:rPr>
          <w:rFonts w:hint="eastAsia"/>
        </w:rPr>
        <w:t>重点实施合盛硅业8万千瓦工业硅烟气余热发电项目。鼓励化工、水泥等企业按热品位高低进行能量梯级利用，实现工业生产流程与设备运行参数的综合优化。</w:t>
      </w:r>
      <w:r>
        <w:rPr>
          <w:rFonts w:hint="eastAsia"/>
          <w:b/>
          <w:bCs/>
          <w:lang w:eastAsia="zh-CN"/>
        </w:rPr>
        <w:t>（</w:t>
      </w:r>
      <w:r>
        <w:rPr>
          <w:rFonts w:hint="eastAsia"/>
          <w:b/>
          <w:bCs/>
          <w:lang w:val="en-US" w:eastAsia="zh-CN"/>
        </w:rPr>
        <w:t>责任单位：</w:t>
      </w:r>
      <w:r>
        <w:rPr>
          <w:rFonts w:hint="eastAsia"/>
          <w:b/>
          <w:bCs/>
          <w:lang w:eastAsia="zh-CN"/>
        </w:rPr>
        <w:t>经济发展局、投资促进局、规划建设局）</w:t>
      </w:r>
    </w:p>
    <w:p w14:paraId="09B9F732">
      <w:pPr>
        <w:pStyle w:val="4"/>
        <w:rPr>
          <w:rFonts w:hint="default" w:eastAsia="仿宋_GB2312"/>
          <w:lang w:val="en-US" w:eastAsia="zh-CN"/>
        </w:rPr>
      </w:pPr>
      <w:r>
        <w:rPr>
          <w:rFonts w:hint="eastAsia"/>
          <w:lang w:val="en-US" w:eastAsia="zh-CN"/>
        </w:rPr>
        <w:t>2</w:t>
      </w:r>
      <w:r>
        <w:t xml:space="preserve">. </w:t>
      </w:r>
      <w:r>
        <w:rPr>
          <w:rFonts w:hint="eastAsia"/>
          <w:lang w:val="en-US" w:eastAsia="zh-CN"/>
        </w:rPr>
        <w:t>推动水资源高效循环利用</w:t>
      </w:r>
    </w:p>
    <w:p w14:paraId="0D201714">
      <w:pPr>
        <w:ind w:firstLine="643"/>
      </w:pPr>
      <w:r>
        <w:rPr>
          <w:rFonts w:hint="eastAsia"/>
        </w:rPr>
        <w:t>推行节水工艺设计，强化公共用水管理，优化工业供水环节，提高供水效率。加强非常规水资源利用，实现水资源利用的集约化，促进节水减排。深化水资源制度建设，完善管道检漏制度，推广先进检漏技术，提高检测能力，降低给排水管网漏失率。建立地下水污染监控制度和环境管理体系、制定监测计划、配备先进的检测仪器和设备，以便及时发现问题，及时采取措施。加强建设项目水资源论证管理，新进项目必须进行水资源论证</w:t>
      </w:r>
      <w:r>
        <w:rPr>
          <w:rFonts w:hint="eastAsia"/>
          <w:highlight w:val="yellow"/>
          <w:lang w:val="en-US" w:eastAsia="zh-CN"/>
        </w:rPr>
        <w:t>或节水评价</w:t>
      </w:r>
      <w:r>
        <w:rPr>
          <w:rFonts w:hint="eastAsia"/>
        </w:rPr>
        <w:t>。建立健全再生水利用政策机制，提高再生水利用效率，推动再生水利用试点城市建设。加大水资源保护宣传力度，形成科学用水、节约用水和污水资源化的氛围。强化水资源约束，严格控制高耗水项目，特别是在水资源紧张、生态敏感和地下水超采地区。全力保障石河子市第二污水处理厂、化工新材料产业园污水处理厂中水回用设施正常运营，完善中水回用管网建设，改造升级北工业园区印染污水处理厂治污设施，引进高压反渗透等处理工艺，加强工业、绿化、荒漠灌溉等中水回用环节应用，建设污水处理厂再生水利用设施、再生水供水管网，实现水资源高效集约利用。</w:t>
      </w:r>
      <w:r>
        <w:rPr>
          <w:rFonts w:hint="eastAsia"/>
          <w:b/>
          <w:bCs/>
          <w:lang w:eastAsia="zh-CN"/>
        </w:rPr>
        <w:t>（</w:t>
      </w:r>
      <w:r>
        <w:rPr>
          <w:rFonts w:hint="eastAsia"/>
          <w:b/>
          <w:bCs/>
          <w:lang w:val="en-US" w:eastAsia="zh-CN"/>
        </w:rPr>
        <w:t>责任单位：</w:t>
      </w:r>
      <w:r>
        <w:rPr>
          <w:rFonts w:hint="eastAsia"/>
          <w:b/>
          <w:bCs/>
          <w:lang w:eastAsia="zh-CN"/>
        </w:rPr>
        <w:t>经济发展局、投资促进局、规划建设局</w:t>
      </w:r>
      <w:r>
        <w:rPr>
          <w:rFonts w:hint="eastAsia"/>
          <w:b/>
          <w:bCs/>
        </w:rPr>
        <w:t>、十户滩新材料工业园区管理办公室</w:t>
      </w:r>
      <w:r>
        <w:rPr>
          <w:rFonts w:hint="eastAsia"/>
          <w:b/>
          <w:bCs/>
          <w:lang w:eastAsia="zh-CN"/>
        </w:rPr>
        <w:t>）</w:t>
      </w:r>
    </w:p>
    <w:p w14:paraId="22C717AB">
      <w:pPr>
        <w:pStyle w:val="4"/>
        <w:rPr>
          <w:rFonts w:hint="default" w:eastAsia="仿宋_GB2312"/>
          <w:lang w:val="en-US" w:eastAsia="zh-CN"/>
        </w:rPr>
      </w:pPr>
      <w:r>
        <w:rPr>
          <w:rFonts w:hint="eastAsia"/>
          <w:lang w:val="en-US" w:eastAsia="zh-CN"/>
        </w:rPr>
        <w:t>3</w:t>
      </w:r>
      <w:r>
        <w:rPr>
          <w:rFonts w:hint="eastAsia"/>
        </w:rPr>
        <w:t>.</w:t>
      </w:r>
      <w:r>
        <w:t xml:space="preserve"> </w:t>
      </w:r>
      <w:r>
        <w:rPr>
          <w:rFonts w:hint="eastAsia"/>
          <w:lang w:val="en-US" w:eastAsia="zh-CN"/>
        </w:rPr>
        <w:t>加强大宗工业固体废物综合利用</w:t>
      </w:r>
    </w:p>
    <w:p w14:paraId="33C13240">
      <w:pPr>
        <w:ind w:firstLine="643"/>
        <w:rPr>
          <w:rFonts w:hint="eastAsia"/>
        </w:rPr>
      </w:pPr>
      <w:r>
        <w:rPr>
          <w:rFonts w:hint="eastAsia"/>
        </w:rPr>
        <w:t>提高煤灰渣、气化炉渣、脱硫石膏、电石渣等工业大宗固废规模化、高值化综合利用，以新疆保隆环保建材、天业生态科技、东润天为等企业固废综合利用项目为重点，完善固废循环产业链条，推进天业生态科技新材料工业园配套项目，资源化利用气化炉渣和尾灰等固废。推进电解铝废渣综合利用，依托天山铝业加快推进铝电解</w:t>
      </w:r>
      <w:r>
        <w:rPr>
          <w:rFonts w:hint="eastAsia"/>
          <w:lang w:eastAsia="zh-CN"/>
        </w:rPr>
        <w:t>炭渣</w:t>
      </w:r>
      <w:r>
        <w:rPr>
          <w:rFonts w:hint="eastAsia"/>
        </w:rPr>
        <w:t>再利用生产项目建设，强化阳极</w:t>
      </w:r>
      <w:r>
        <w:rPr>
          <w:rFonts w:hint="eastAsia"/>
          <w:lang w:eastAsia="zh-CN"/>
        </w:rPr>
        <w:t>炭渣</w:t>
      </w:r>
      <w:r>
        <w:rPr>
          <w:rFonts w:hint="eastAsia"/>
        </w:rPr>
        <w:t>、铝灰、电解槽废槽内衬、大修阴极块等综合利用。推进含硅废渣、脱硫灰综合利用，强化大全、天山铝业、众和新材料等企业协作，提升硅基固废综合利用能力，建立完善以“上游固废综合利用+下游节能产品开发应用”为特色的循环经济模式。</w:t>
      </w:r>
      <w:r>
        <w:rPr>
          <w:rFonts w:hint="eastAsia"/>
          <w:b/>
          <w:bCs/>
          <w:lang w:eastAsia="zh-CN"/>
        </w:rPr>
        <w:t>（</w:t>
      </w:r>
      <w:r>
        <w:rPr>
          <w:rFonts w:hint="eastAsia"/>
          <w:b/>
          <w:bCs/>
          <w:lang w:val="en-US" w:eastAsia="zh-CN"/>
        </w:rPr>
        <w:t>责任单位：</w:t>
      </w:r>
      <w:r>
        <w:rPr>
          <w:rFonts w:hint="eastAsia"/>
          <w:b/>
          <w:bCs/>
          <w:lang w:eastAsia="zh-CN"/>
        </w:rPr>
        <w:t>经济发展局、投资促进局、规划建设局</w:t>
      </w:r>
      <w:r>
        <w:rPr>
          <w:rFonts w:hint="eastAsia"/>
          <w:b/>
          <w:bCs/>
        </w:rPr>
        <w:t>、十户滩新材料工业园区管理办公室</w:t>
      </w:r>
      <w:r>
        <w:rPr>
          <w:rFonts w:hint="eastAsia"/>
          <w:b/>
          <w:bCs/>
          <w:lang w:eastAsia="zh-CN"/>
        </w:rPr>
        <w:t>）</w:t>
      </w:r>
    </w:p>
    <w:p w14:paraId="29136AE6">
      <w:pPr>
        <w:pStyle w:val="4"/>
        <w:rPr>
          <w:rFonts w:hint="default" w:eastAsia="仿宋_GB2312"/>
          <w:lang w:val="en-US" w:eastAsia="zh-CN"/>
        </w:rPr>
      </w:pPr>
      <w:r>
        <w:rPr>
          <w:rFonts w:hint="eastAsia"/>
          <w:lang w:val="en-US" w:eastAsia="zh-CN"/>
        </w:rPr>
        <w:t>4</w:t>
      </w:r>
      <w:r>
        <w:rPr>
          <w:rFonts w:hint="eastAsia"/>
        </w:rPr>
        <w:t>.</w:t>
      </w:r>
      <w:r>
        <w:t xml:space="preserve"> </w:t>
      </w:r>
      <w:r>
        <w:rPr>
          <w:rFonts w:hint="eastAsia"/>
          <w:lang w:val="en-US" w:eastAsia="zh-CN"/>
        </w:rPr>
        <w:t>加快用能产品设备更新改造</w:t>
      </w:r>
    </w:p>
    <w:p w14:paraId="288E9967">
      <w:pPr>
        <w:ind w:firstLine="643"/>
        <w:rPr>
          <w:rFonts w:hint="eastAsia"/>
          <w:lang w:eastAsia="zh-CN"/>
        </w:rPr>
      </w:pPr>
      <w:r>
        <w:rPr>
          <w:rFonts w:hint="eastAsia"/>
        </w:rPr>
        <w:t>推动重点用能设备更新升级，加强废旧产品设备循环利用。加快建设废旧物资循环利用体系，强化废旧产品设备回收处置供需对接。加强工业装备、信息通信、风电光伏、动力电池等回收利用。重点开展企业废旧设备回收处置，加快老旧设备淘汰进程，做好废旧资源加工回收企业清单梳理完善，建立重要资源消耗、回收利用、处理处置、再生原料消费等基础数据库，定点对接企业报废处置的老旧设备。用好超长期特别国债大规模设备更新专项资金，支持工业重点领域、环境基础设施、交通运输设备设施、用能设备、能源电力设施、回收循环利用领域等节能降碳改造和设备更新，重点支持企业开展节能降碳改造、通用用能设备升级、落后用能设备淘汰、能源和碳排放统计核算能力提升等工作并申请有关资金支持</w:t>
      </w:r>
      <w:r>
        <w:rPr>
          <w:rFonts w:hint="eastAsia"/>
          <w:lang w:eastAsia="zh-CN"/>
        </w:rPr>
        <w:t>。</w:t>
      </w:r>
      <w:r>
        <w:rPr>
          <w:rFonts w:hint="eastAsia"/>
          <w:b/>
          <w:bCs/>
          <w:lang w:eastAsia="zh-CN"/>
        </w:rPr>
        <w:t>（</w:t>
      </w:r>
      <w:r>
        <w:rPr>
          <w:rFonts w:hint="eastAsia"/>
          <w:b/>
          <w:bCs/>
          <w:lang w:val="en-US" w:eastAsia="zh-CN"/>
        </w:rPr>
        <w:t>责任单位：</w:t>
      </w:r>
      <w:r>
        <w:rPr>
          <w:rFonts w:hint="eastAsia"/>
          <w:b/>
          <w:bCs/>
          <w:lang w:eastAsia="zh-CN"/>
        </w:rPr>
        <w:t>经济发展局、投资促进局、财政局、规划建设局</w:t>
      </w:r>
      <w:r>
        <w:rPr>
          <w:rFonts w:hint="eastAsia"/>
          <w:b/>
          <w:bCs/>
        </w:rPr>
        <w:t>、十户滩新材料工业园区管理办公室</w:t>
      </w:r>
      <w:r>
        <w:rPr>
          <w:rFonts w:hint="eastAsia"/>
          <w:b/>
          <w:bCs/>
          <w:lang w:eastAsia="zh-CN"/>
        </w:rPr>
        <w:t>）</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0126B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150A2027">
            <w:pPr>
              <w:pStyle w:val="33"/>
              <w:rPr>
                <w:rFonts w:hint="default" w:eastAsia="黑体"/>
                <w:lang w:val="en-US" w:eastAsia="zh-CN"/>
              </w:rPr>
            </w:pPr>
            <w:r>
              <w:rPr>
                <w:rFonts w:hint="eastAsia"/>
              </w:rPr>
              <w:t>专栏</w:t>
            </w:r>
            <w:r>
              <w:rPr>
                <w:rFonts w:hint="eastAsia"/>
                <w:lang w:val="en-US" w:eastAsia="zh-CN"/>
              </w:rPr>
              <w:t>五</w:t>
            </w:r>
            <w:r>
              <w:t xml:space="preserve"> </w:t>
            </w:r>
            <w:r>
              <w:rPr>
                <w:rFonts w:hint="eastAsia"/>
                <w:lang w:val="en-US" w:eastAsia="zh-CN"/>
              </w:rPr>
              <w:t>大力推动资源循环利用</w:t>
            </w:r>
          </w:p>
        </w:tc>
      </w:tr>
      <w:tr w14:paraId="3E07A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7AF2EE39">
            <w:pPr>
              <w:pStyle w:val="61"/>
              <w:rPr>
                <w:rFonts w:hint="eastAsia"/>
                <w:lang w:eastAsia="zh-CN"/>
              </w:rPr>
            </w:pPr>
            <w:r>
              <w:rPr>
                <w:rFonts w:hint="eastAsia"/>
                <w:lang w:eastAsia="zh-CN"/>
              </w:rPr>
              <w:t>中水综合利用及蒸汽梯级回收利用项目。大全新能源，新建1套循环水中水回收装置，减少循环水中水的排放。新增增加两台蒸汽压缩机，梯级回收0.3MPa低压蒸汽35.2万吨/年，供精馏、冷氢化等车间使用，可减少中压蒸汽用量35.2万吨/年。</w:t>
            </w:r>
          </w:p>
          <w:p w14:paraId="43AD9944">
            <w:pPr>
              <w:pStyle w:val="61"/>
              <w:rPr>
                <w:rFonts w:hint="eastAsia"/>
                <w:lang w:eastAsia="zh-CN"/>
              </w:rPr>
            </w:pPr>
            <w:r>
              <w:rPr>
                <w:rFonts w:hint="eastAsia"/>
                <w:lang w:eastAsia="zh-CN"/>
              </w:rPr>
              <w:t>强化区内水资源高效利用。重点推进</w:t>
            </w:r>
            <w:r>
              <w:rPr>
                <w:rFonts w:hint="eastAsia"/>
              </w:rPr>
              <w:t>新疆西部合盛硅业有限公司废水综合利用项目</w:t>
            </w:r>
            <w:r>
              <w:rPr>
                <w:rFonts w:hint="eastAsia"/>
                <w:lang w:eastAsia="zh-CN"/>
              </w:rPr>
              <w:t>；新疆大全新能源股份有限公司建设循环水中水综合利用及蒸汽梯级回收利用项目；新疆赛德环保科技服务有限公司印染污水处理厂提标改造项目，提升处理规模至10000立方米/天，同步配套建设85km中水管网，以及化工新材料产业园污水处理厂改造项目，处理规模提升至9000立方米/天，提升污水处理及再生水回用能力。</w:t>
            </w:r>
          </w:p>
          <w:p w14:paraId="202918C6">
            <w:pPr>
              <w:pStyle w:val="61"/>
              <w:rPr>
                <w:rFonts w:hint="eastAsia" w:eastAsia="宋体"/>
                <w:lang w:val="en-US" w:eastAsia="zh-CN"/>
              </w:rPr>
            </w:pPr>
            <w:r>
              <w:rPr>
                <w:rFonts w:hint="eastAsia"/>
                <w:lang w:eastAsia="zh-CN"/>
              </w:rPr>
              <w:t>加快用能产品设备和设施更新改造。推动新疆生产建设兵团第八师天山铝业有限公司</w:t>
            </w:r>
            <w:r>
              <w:rPr>
                <w:rFonts w:hint="eastAsia"/>
              </w:rPr>
              <w:t>新型节能降碳铝电解槽技术优化及应用</w:t>
            </w:r>
            <w:r>
              <w:rPr>
                <w:rFonts w:hint="eastAsia"/>
                <w:lang w:eastAsia="zh-CN"/>
              </w:rPr>
              <w:t>、</w:t>
            </w:r>
            <w:r>
              <w:rPr>
                <w:rFonts w:hint="eastAsia"/>
              </w:rPr>
              <w:t>新疆西部合盛硅材料有限公司工业硅炉效能技改项目</w:t>
            </w:r>
            <w:r>
              <w:rPr>
                <w:rFonts w:hint="eastAsia"/>
                <w:lang w:eastAsia="zh-CN"/>
              </w:rPr>
              <w:t>、</w:t>
            </w:r>
            <w:r>
              <w:rPr>
                <w:rFonts w:hint="eastAsia"/>
              </w:rPr>
              <w:t>石河子众金电极箔有限公司节能技改项目</w:t>
            </w:r>
            <w:r>
              <w:rPr>
                <w:rFonts w:hint="eastAsia"/>
                <w:lang w:eastAsia="zh-CN"/>
              </w:rPr>
              <w:t>等工业重点领域设备更新改造。推动石河子北工业园区印染污水处理厂设备更新改造项目、赛德环保石河子开发区化工新材料产业园污水处理厂设备更新改造项目等</w:t>
            </w:r>
            <w:r>
              <w:rPr>
                <w:rFonts w:hint="eastAsia"/>
                <w:lang w:val="en-US" w:eastAsia="zh-CN"/>
              </w:rPr>
              <w:t>4</w:t>
            </w:r>
            <w:r>
              <w:rPr>
                <w:rFonts w:hint="eastAsia"/>
                <w:lang w:eastAsia="zh-CN"/>
              </w:rPr>
              <w:t>个环境基础设施更新改造。推动</w:t>
            </w:r>
            <w:r>
              <w:rPr>
                <w:rFonts w:hint="eastAsia"/>
              </w:rPr>
              <w:t>新疆嘉泰瑞恒新材料科技有限公司脱硫石膏综合利用项目</w:t>
            </w:r>
            <w:r>
              <w:rPr>
                <w:rFonts w:hint="eastAsia"/>
                <w:lang w:eastAsia="zh-CN"/>
              </w:rPr>
              <w:t>等回收循环利用领域设备更新项目</w:t>
            </w:r>
            <w:r>
              <w:t>。</w:t>
            </w:r>
          </w:p>
        </w:tc>
      </w:tr>
    </w:tbl>
    <w:p w14:paraId="4F919EF1">
      <w:pPr>
        <w:pStyle w:val="3"/>
        <w:ind w:firstLine="640"/>
      </w:pPr>
      <w:bookmarkStart w:id="87" w:name="_Toc2150"/>
      <w:bookmarkStart w:id="88" w:name="_Toc3873"/>
      <w:bookmarkStart w:id="89" w:name="_Toc16111"/>
      <w:bookmarkStart w:id="90" w:name="_Toc30568"/>
      <w:bookmarkStart w:id="91" w:name="_Toc4108"/>
      <w:r>
        <w:rPr>
          <w:rFonts w:hint="eastAsia"/>
        </w:rPr>
        <w:t>（五）提升减污降碳协同能力</w:t>
      </w:r>
      <w:bookmarkEnd w:id="87"/>
      <w:bookmarkEnd w:id="88"/>
      <w:bookmarkEnd w:id="89"/>
      <w:bookmarkEnd w:id="90"/>
      <w:bookmarkEnd w:id="91"/>
    </w:p>
    <w:p w14:paraId="2CDB3662">
      <w:pPr>
        <w:pStyle w:val="4"/>
        <w:rPr>
          <w:rFonts w:hint="default" w:eastAsia="仿宋_GB2312"/>
          <w:lang w:val="en-US" w:eastAsia="zh-CN"/>
        </w:rPr>
      </w:pPr>
      <w:r>
        <w:t>1</w:t>
      </w:r>
      <w:r>
        <w:rPr>
          <w:rFonts w:hint="eastAsia"/>
        </w:rPr>
        <w:t>.</w:t>
      </w:r>
      <w:r>
        <w:t xml:space="preserve"> </w:t>
      </w:r>
      <w:r>
        <w:rPr>
          <w:rFonts w:hint="eastAsia"/>
          <w:lang w:val="en-US" w:eastAsia="zh-CN"/>
        </w:rPr>
        <w:t>推进减污降碳协同控制</w:t>
      </w:r>
    </w:p>
    <w:p w14:paraId="434E3247">
      <w:pPr>
        <w:ind w:firstLine="640"/>
        <w:rPr>
          <w:lang w:val="en"/>
        </w:rPr>
      </w:pPr>
      <w:r>
        <w:rPr>
          <w:rFonts w:hint="eastAsia"/>
        </w:rPr>
        <w:t>持续打好蓝天、碧水、净土保卫战，严格污染物排放总量控制，推进实施主要污染物重点减排工程，加强环境基础设施建设。重点推进重点行业大气污染深度治理与节能降碳行动，在电力、水泥、煤化工、电解铝、工业硅、石墨碳素等重点用能行业持续推进减煤节能和电代煤、气代煤工作，严格合理控制煤炭消费增长。实施工业炉窑清洁能源替代，对以煤、石油焦、渣油、重油等为燃料的熔炼炉、熔化炉、烧结机（炉）、焙（煅）烧炉、加热炉、热处理炉、炉（窑）、炼焦炉、煤气发生炉等，加快推进电代煤、气代煤等清洁能源替代以及利用工业余热、电厂热力等进行替代</w:t>
      </w:r>
      <w:r>
        <w:rPr>
          <w:rFonts w:hint="eastAsia"/>
          <w:lang w:eastAsia="zh-CN"/>
        </w:rPr>
        <w:t>。</w:t>
      </w:r>
      <w:r>
        <w:rPr>
          <w:rFonts w:hint="eastAsia"/>
          <w:b/>
          <w:bCs/>
          <w:lang w:eastAsia="zh-CN"/>
        </w:rPr>
        <w:t>（</w:t>
      </w:r>
      <w:r>
        <w:rPr>
          <w:rFonts w:hint="eastAsia"/>
          <w:b/>
          <w:bCs/>
          <w:lang w:val="en-US" w:eastAsia="zh-CN"/>
        </w:rPr>
        <w:t>责任单位：</w:t>
      </w:r>
      <w:r>
        <w:rPr>
          <w:rFonts w:hint="eastAsia"/>
          <w:b/>
          <w:bCs/>
          <w:lang w:eastAsia="zh-CN"/>
        </w:rPr>
        <w:t>经济发展局、投资促进局、规划建设局</w:t>
      </w:r>
      <w:r>
        <w:rPr>
          <w:rFonts w:hint="eastAsia"/>
          <w:b/>
          <w:bCs/>
        </w:rPr>
        <w:t>、十户滩新材料工业园区管理办公室</w:t>
      </w:r>
      <w:r>
        <w:rPr>
          <w:rFonts w:hint="eastAsia"/>
          <w:b/>
          <w:bCs/>
          <w:lang w:eastAsia="zh-CN"/>
        </w:rPr>
        <w:t>）</w:t>
      </w:r>
    </w:p>
    <w:p w14:paraId="64091C77">
      <w:pPr>
        <w:pStyle w:val="4"/>
      </w:pPr>
      <w:r>
        <w:t>2</w:t>
      </w:r>
      <w:r>
        <w:rPr>
          <w:rFonts w:hint="eastAsia"/>
        </w:rPr>
        <w:t>.</w:t>
      </w:r>
      <w:r>
        <w:t xml:space="preserve"> </w:t>
      </w:r>
      <w:r>
        <w:rPr>
          <w:rFonts w:hint="eastAsia"/>
          <w:lang w:val="en-US" w:eastAsia="zh-CN"/>
        </w:rPr>
        <w:t>加强污染物排放和碳排放源头治理</w:t>
      </w:r>
    </w:p>
    <w:p w14:paraId="067B93C4">
      <w:pPr>
        <w:ind w:firstLine="643"/>
      </w:pPr>
      <w:r>
        <w:rPr>
          <w:rFonts w:hint="eastAsia"/>
          <w:b w:val="0"/>
          <w:bCs w:val="0"/>
        </w:rPr>
        <w:t>加强固定资产投资项目节能审查和环境准入关</w:t>
      </w:r>
      <w:r>
        <w:rPr>
          <w:rFonts w:hint="eastAsia"/>
        </w:rPr>
        <w:t>。对不符合产业政策、能耗“双控”、产能置换、“三线一单”、污染物区域削减等要求的，依法不予审批，探索建立项目入区绿色评价指标体系。对于能耗量较大的新兴产业，充分发挥《</w:t>
      </w:r>
      <w:r>
        <w:rPr>
          <w:rFonts w:hint="eastAsia"/>
          <w:lang w:eastAsia="zh-CN"/>
        </w:rPr>
        <w:t>石河子</w:t>
      </w:r>
      <w:r>
        <w:rPr>
          <w:rFonts w:hint="eastAsia"/>
        </w:rPr>
        <w:t>经济技术开发区促进绿色发展暂行办法》的引导作用，促进企业应用绿色低碳技术，提高能效和降低排放水平。推进工业结构节能，依法依规淘汰落后产能。高起点设定项目准入类别，引导产业向“专精特新”转型。</w:t>
      </w:r>
      <w:r>
        <w:rPr>
          <w:rFonts w:hint="eastAsia"/>
          <w:b/>
          <w:bCs/>
          <w:lang w:eastAsia="zh-CN"/>
        </w:rPr>
        <w:t>（</w:t>
      </w:r>
      <w:r>
        <w:rPr>
          <w:rFonts w:hint="eastAsia"/>
          <w:b/>
          <w:bCs/>
          <w:lang w:val="en-US" w:eastAsia="zh-CN"/>
        </w:rPr>
        <w:t>责任单位：</w:t>
      </w:r>
      <w:r>
        <w:rPr>
          <w:rFonts w:hint="eastAsia"/>
          <w:b/>
          <w:bCs/>
          <w:lang w:eastAsia="zh-CN"/>
        </w:rPr>
        <w:t>经济发展局、投资促进局）</w:t>
      </w:r>
    </w:p>
    <w:p w14:paraId="6EF4CD68">
      <w:pPr>
        <w:pStyle w:val="4"/>
      </w:pPr>
      <w:r>
        <w:rPr>
          <w:rFonts w:hint="eastAsia"/>
        </w:rPr>
        <w:t>3</w:t>
      </w:r>
      <w:r>
        <w:t xml:space="preserve">. </w:t>
      </w:r>
      <w:r>
        <w:rPr>
          <w:rFonts w:hint="eastAsia"/>
          <w:color w:val="auto"/>
          <w:highlight w:val="none"/>
        </w:rPr>
        <w:t>实施重点行业企业污染深度治理</w:t>
      </w:r>
    </w:p>
    <w:p w14:paraId="22CBF53D">
      <w:pPr>
        <w:ind w:firstLine="640"/>
      </w:pPr>
      <w:r>
        <w:rPr>
          <w:rFonts w:hint="eastAsia"/>
        </w:rPr>
        <w:t>对重点行业企业的除尘脱硫一体化、简易碱法脱硫、简易氨法脱硫脱硝、湿法脱硝等低效治理技术全面提升改造，推进水泥、石墨碳素、工业硅、化工等行业烟气深度治理，推动相关企业实施提标改造工程。大力推进工业VOCs全过程综合治理，加强日常监管，强化含VOCs物料全方位、全链条、全环节的无组织排放控制，推动源头替代，大力提升VOCs排放收集率、去除率和治理设施运行率，推进工艺过程、挥发性有机液体储罐及装载、敞开液面逸散、有机废气旁路及非正常工况等VOCs综合治理，实施重点行业企业挥发性有机物“一企一策”综合治理工程</w:t>
      </w:r>
      <w:r>
        <w:rPr>
          <w:rFonts w:hint="eastAsia"/>
          <w:lang w:eastAsia="zh-CN"/>
        </w:rPr>
        <w:t>。</w:t>
      </w:r>
      <w:r>
        <w:rPr>
          <w:rFonts w:hint="eastAsia"/>
          <w:b/>
          <w:bCs/>
          <w:lang w:eastAsia="zh-CN"/>
        </w:rPr>
        <w:t>（</w:t>
      </w:r>
      <w:r>
        <w:rPr>
          <w:rFonts w:hint="eastAsia"/>
          <w:b/>
          <w:bCs/>
          <w:lang w:val="en-US" w:eastAsia="zh-CN"/>
        </w:rPr>
        <w:t>责任单位：</w:t>
      </w:r>
      <w:r>
        <w:rPr>
          <w:rFonts w:hint="eastAsia"/>
          <w:b/>
          <w:bCs/>
          <w:lang w:eastAsia="zh-CN"/>
        </w:rPr>
        <w:t>经济发展局、规划建设局</w:t>
      </w:r>
      <w:r>
        <w:rPr>
          <w:rFonts w:hint="eastAsia"/>
          <w:b/>
          <w:bCs/>
        </w:rPr>
        <w:t>、十户滩新材料工业园区管理办公室</w:t>
      </w:r>
      <w:r>
        <w:rPr>
          <w:rFonts w:hint="eastAsia"/>
          <w:b/>
          <w:bCs/>
          <w:lang w:eastAsia="zh-CN"/>
        </w:rPr>
        <w:t>）</w:t>
      </w:r>
    </w:p>
    <w:p w14:paraId="71274DBD">
      <w:pPr>
        <w:pStyle w:val="4"/>
      </w:pPr>
      <w:r>
        <w:rPr>
          <w:rFonts w:hint="eastAsia"/>
        </w:rPr>
        <w:t>4</w:t>
      </w:r>
      <w:r>
        <w:t xml:space="preserve">. </w:t>
      </w:r>
      <w:r>
        <w:rPr>
          <w:rFonts w:hint="eastAsia"/>
        </w:rPr>
        <w:t>探索环境污染第三方治理模式</w:t>
      </w:r>
    </w:p>
    <w:p w14:paraId="71858C44">
      <w:pPr>
        <w:ind w:firstLine="643"/>
        <w:rPr>
          <w:rFonts w:hint="eastAsia"/>
        </w:rPr>
      </w:pPr>
      <w:r>
        <w:rPr>
          <w:rFonts w:hint="eastAsia"/>
        </w:rPr>
        <w:t>创新政策引导，探索污染治理的长效监管机制，推动形成环境污染第三方治理的“市场化、专业化、产业化”，整体提升污染治理水平和污染物排放管控水平。结合实际情况依法委托第三方开展治理和环境咨询服务，建设环境监管综合平台，开展环境质量监测、排污单位监控，实现实时环境预警，提供包括环境污染问题诊断、系统解决方案、环保宣传、协助环境风险排查、应急处置等相关环境管理服务。鼓励第三方公司依法积极参与环境影响评价、循环化改造及集中污染治理设施的运维管理等服务。</w:t>
      </w:r>
      <w:r>
        <w:rPr>
          <w:rFonts w:hint="eastAsia"/>
          <w:b/>
          <w:bCs/>
          <w:lang w:eastAsia="zh-CN"/>
        </w:rPr>
        <w:t>（</w:t>
      </w:r>
      <w:r>
        <w:rPr>
          <w:rFonts w:hint="eastAsia"/>
          <w:b/>
          <w:bCs/>
          <w:lang w:val="en-US" w:eastAsia="zh-CN"/>
        </w:rPr>
        <w:t>责任单位：</w:t>
      </w:r>
      <w:r>
        <w:rPr>
          <w:rFonts w:hint="eastAsia"/>
          <w:b/>
          <w:bCs/>
          <w:lang w:eastAsia="zh-CN"/>
        </w:rPr>
        <w:t>经济发展局、投资促进局）</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23A73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3E0B6C96">
            <w:pPr>
              <w:pStyle w:val="33"/>
              <w:rPr>
                <w:rFonts w:hint="default" w:eastAsia="黑体"/>
                <w:lang w:val="en-US" w:eastAsia="zh-CN"/>
              </w:rPr>
            </w:pPr>
            <w:r>
              <w:rPr>
                <w:rFonts w:hint="eastAsia"/>
              </w:rPr>
              <w:t>专栏</w:t>
            </w:r>
            <w:r>
              <w:rPr>
                <w:rFonts w:hint="eastAsia"/>
                <w:lang w:val="en-US" w:eastAsia="zh-CN"/>
              </w:rPr>
              <w:t>六</w:t>
            </w:r>
            <w:r>
              <w:t xml:space="preserve"> </w:t>
            </w:r>
            <w:r>
              <w:rPr>
                <w:rFonts w:hint="eastAsia"/>
                <w:lang w:val="en-US" w:eastAsia="zh-CN"/>
              </w:rPr>
              <w:t>减污降碳协同治理</w:t>
            </w:r>
          </w:p>
        </w:tc>
      </w:tr>
      <w:tr w14:paraId="7F18C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094B5B7E">
            <w:pPr>
              <w:pStyle w:val="61"/>
              <w:rPr>
                <w:rFonts w:hint="eastAsia"/>
                <w:lang w:eastAsia="zh-CN"/>
              </w:rPr>
            </w:pPr>
            <w:r>
              <w:rPr>
                <w:rFonts w:hint="eastAsia"/>
                <w:lang w:eastAsia="zh-CN"/>
              </w:rPr>
              <w:t>积极应对重污染天气。涉气企业均纳入重污染天气应急减排清单，按照《重污染天气重点行业应急减排措施制定技术指南（2020年修订版）》等要求，合理确定企业绩效分级管控级别。严格实施环保绩效分级差异化管控，督促企业落实“一厂一策”。在重污染天气频发时段，开展专项检查，重点</w:t>
            </w:r>
            <w:r>
              <w:rPr>
                <w:rFonts w:hint="eastAsia"/>
                <w:lang w:val="en-US" w:eastAsia="zh-CN"/>
              </w:rPr>
              <w:t>管控</w:t>
            </w:r>
            <w:r>
              <w:rPr>
                <w:rFonts w:hint="eastAsia"/>
                <w:lang w:eastAsia="zh-CN"/>
              </w:rPr>
              <w:t>各项重污染天气应急减排措施有效落实。加强乌昌石区域大气联防联控，深化重污染天气重点行业绩效分级，激励重点企业“创A晋B”。</w:t>
            </w:r>
          </w:p>
          <w:p w14:paraId="02A4E9D2">
            <w:pPr>
              <w:pStyle w:val="61"/>
              <w:rPr>
                <w:rFonts w:hint="eastAsia"/>
                <w:lang w:eastAsia="zh-CN"/>
              </w:rPr>
            </w:pPr>
            <w:r>
              <w:rPr>
                <w:rFonts w:hint="eastAsia"/>
                <w:lang w:eastAsia="zh-CN"/>
              </w:rPr>
              <w:t>提升重点行业废气治理水平。要求电解铝、活性炭、硅冶炼、纯碱、电石、聚氯乙烯、煤化工等行业，实施低效废气治理设施提标改造工程，确保脱硫、脱硝、除尘、挥发性有机物处理等废气治理设施的工艺技术达到先进水平。</w:t>
            </w:r>
          </w:p>
          <w:p w14:paraId="70E15F2C">
            <w:pPr>
              <w:pStyle w:val="61"/>
              <w:rPr>
                <w:rFonts w:hint="eastAsia" w:eastAsia="宋体"/>
                <w:lang w:val="en-US" w:eastAsia="zh-CN"/>
              </w:rPr>
            </w:pPr>
            <w:r>
              <w:rPr>
                <w:rFonts w:hint="eastAsia"/>
                <w:lang w:eastAsia="zh-CN"/>
              </w:rPr>
              <w:t>工业废气集中收集处置协同VOCs焚烧治理项目。推进实施石河子市西部宁新碳素有限公司废气焚烧项目，通过新增引风机将汇总后的烟气送至合盛自备电厂电锅炉进行焚烧处理，将碳素厂集中收集的废气沥青烟和VOCs等成分全部燃烧</w:t>
            </w:r>
            <w:r>
              <w:t>。</w:t>
            </w:r>
          </w:p>
        </w:tc>
      </w:tr>
    </w:tbl>
    <w:p w14:paraId="0839E04F">
      <w:pPr>
        <w:ind w:firstLine="640"/>
        <w:rPr>
          <w:rFonts w:eastAsia="黑体" w:cs="Times New Roman"/>
          <w:bCs/>
          <w:kern w:val="44"/>
          <w:szCs w:val="44"/>
        </w:rPr>
      </w:pPr>
      <w:r>
        <w:rPr>
          <w:rFonts w:eastAsia="黑体" w:cs="Times New Roman"/>
          <w:bCs/>
          <w:kern w:val="44"/>
          <w:szCs w:val="44"/>
        </w:rPr>
        <w:br w:type="page"/>
      </w:r>
    </w:p>
    <w:p w14:paraId="7A0E3380">
      <w:pPr>
        <w:pStyle w:val="2"/>
        <w:ind w:firstLine="640"/>
      </w:pPr>
      <w:bookmarkStart w:id="92" w:name="_Toc2950"/>
      <w:bookmarkStart w:id="93" w:name="_Toc18904"/>
      <w:bookmarkStart w:id="94" w:name="_Toc10356"/>
      <w:bookmarkStart w:id="95" w:name="_Toc3835"/>
      <w:bookmarkStart w:id="96" w:name="_Toc15702"/>
      <w:r>
        <w:rPr>
          <w:rFonts w:hint="eastAsia"/>
        </w:rPr>
        <w:t>四、科技创新</w:t>
      </w:r>
      <w:bookmarkEnd w:id="92"/>
      <w:bookmarkEnd w:id="93"/>
      <w:bookmarkEnd w:id="94"/>
      <w:bookmarkEnd w:id="95"/>
      <w:bookmarkEnd w:id="96"/>
    </w:p>
    <w:p w14:paraId="4BC097C4">
      <w:pPr>
        <w:pStyle w:val="3"/>
        <w:ind w:firstLine="640"/>
      </w:pPr>
      <w:bookmarkStart w:id="97" w:name="_Toc1501"/>
      <w:bookmarkStart w:id="98" w:name="_Toc17080"/>
      <w:bookmarkStart w:id="99" w:name="_Toc22107"/>
      <w:bookmarkStart w:id="100" w:name="_Toc6526"/>
      <w:bookmarkStart w:id="101" w:name="_Toc20236"/>
      <w:r>
        <w:rPr>
          <w:rFonts w:hint="eastAsia"/>
        </w:rPr>
        <w:t>（一）健全绿色低碳科技创新体制机制</w:t>
      </w:r>
      <w:bookmarkEnd w:id="97"/>
      <w:bookmarkEnd w:id="98"/>
      <w:bookmarkEnd w:id="99"/>
      <w:bookmarkEnd w:id="100"/>
      <w:bookmarkEnd w:id="101"/>
    </w:p>
    <w:p w14:paraId="6D6C3490">
      <w:pPr>
        <w:ind w:firstLine="643"/>
      </w:pPr>
      <w:r>
        <w:rPr>
          <w:rFonts w:hint="eastAsia"/>
        </w:rPr>
        <w:t>完善绿色技术科技创新项目组织机制，探索实施</w:t>
      </w:r>
      <w:r>
        <w:rPr>
          <w:rFonts w:hint="eastAsia"/>
          <w:lang w:eastAsia="zh-CN"/>
        </w:rPr>
        <w:t>重大科技项目</w:t>
      </w:r>
      <w:r>
        <w:rPr>
          <w:rFonts w:hint="eastAsia"/>
        </w:rPr>
        <w:t>，深入推行“揭榜挂帅”制度。完善绿色低碳创新企业培育机制，大力培育绿色低碳领域创新型领军企业、高新技术企业及科技型中小企业，加快建设绿色产业专业孵化器、众创空间。围绕新型能源、减污降碳等领域，布局建设高水平企业研发机构，持续增强企业创新能力。完善绿色技术成果转移转化机制，推进绿色低碳技术交易综合性服务平台建设，提高绿色低碳成果转化效率，构建从技术研发到成果转化、产业化应用的完整链条。</w:t>
      </w:r>
      <w:r>
        <w:rPr>
          <w:rFonts w:hint="eastAsia"/>
          <w:b/>
          <w:bCs/>
          <w:lang w:eastAsia="zh-CN"/>
        </w:rPr>
        <w:t>（</w:t>
      </w:r>
      <w:r>
        <w:rPr>
          <w:rFonts w:hint="eastAsia"/>
          <w:b/>
          <w:bCs/>
          <w:lang w:val="en-US" w:eastAsia="zh-CN"/>
        </w:rPr>
        <w:t>责任单位：</w:t>
      </w:r>
      <w:r>
        <w:rPr>
          <w:rFonts w:hint="eastAsia"/>
          <w:b/>
          <w:bCs/>
        </w:rPr>
        <w:t>高新区专项工作组</w:t>
      </w:r>
      <w:r>
        <w:rPr>
          <w:rFonts w:hint="eastAsia"/>
          <w:b/>
          <w:bCs/>
          <w:lang w:eastAsia="zh-CN"/>
        </w:rPr>
        <w:t>、经济发展局、投资促进局）</w:t>
      </w:r>
    </w:p>
    <w:p w14:paraId="300BC755">
      <w:pPr>
        <w:pStyle w:val="3"/>
        <w:ind w:firstLine="640"/>
      </w:pPr>
      <w:bookmarkStart w:id="102" w:name="_Toc13859"/>
      <w:bookmarkStart w:id="103" w:name="_Toc30349"/>
      <w:bookmarkStart w:id="104" w:name="_Toc4030"/>
      <w:bookmarkStart w:id="105" w:name="_Toc18737"/>
      <w:bookmarkStart w:id="106" w:name="_Toc32068"/>
      <w:r>
        <w:rPr>
          <w:rFonts w:hint="eastAsia"/>
        </w:rPr>
        <w:t>（二）推进绿色科技创新平台建设</w:t>
      </w:r>
      <w:bookmarkEnd w:id="102"/>
      <w:bookmarkEnd w:id="103"/>
      <w:bookmarkEnd w:id="104"/>
      <w:bookmarkEnd w:id="105"/>
      <w:bookmarkEnd w:id="106"/>
    </w:p>
    <w:p w14:paraId="0135B48C">
      <w:pPr>
        <w:ind w:firstLine="643"/>
      </w:pPr>
      <w:r>
        <w:rPr>
          <w:rFonts w:hint="eastAsia"/>
        </w:rPr>
        <w:t>围绕四大产业集群，以兵团工业研究院为平台，面向新材料、新能源等产业领域，落地一批科研创新合作项目。针对企业重点领域科技攻关，联合石河子大学和区内外研发机构开展课题研究，建立集聚产业创新资源、政府和生产企业供需一体的科技成果转移转化平台。积极推广节能咨询、诊断、设计、融资、改造、托管等“一站式”综合服务模式。推动重点高能耗企业开展碳排放核算和碳资产管理平台建设，有序建设温室气体自愿减排交易市场，夯实数据质量监管机制。加快建设绿证交易市场，做好与碳市场衔接，扩大绿电消费规模。支持骨干企业、高新技术企业建立重点实验室、工程研究中心、企业技术中心等研发机构，建设好天业—大连化物所等新材料技术转移中心、天业节水数字农业重点实验室、兵团光伏硅材料工程技术研究中心、兵团铝冶炼工程技术研究中心等创新节点机构。</w:t>
      </w:r>
      <w:r>
        <w:rPr>
          <w:rFonts w:hint="eastAsia"/>
          <w:b/>
          <w:bCs/>
          <w:lang w:eastAsia="zh-CN"/>
        </w:rPr>
        <w:t>（</w:t>
      </w:r>
      <w:r>
        <w:rPr>
          <w:rFonts w:hint="eastAsia"/>
          <w:b/>
          <w:bCs/>
          <w:lang w:val="en-US" w:eastAsia="zh-CN"/>
        </w:rPr>
        <w:t>责任单位：</w:t>
      </w:r>
      <w:r>
        <w:rPr>
          <w:rFonts w:hint="eastAsia"/>
          <w:b/>
          <w:bCs/>
        </w:rPr>
        <w:t>高新区专项工作组</w:t>
      </w:r>
      <w:r>
        <w:rPr>
          <w:rFonts w:hint="eastAsia"/>
          <w:b/>
          <w:bCs/>
          <w:lang w:eastAsia="zh-CN"/>
        </w:rPr>
        <w:t>、经济发展局、投资促进局）</w:t>
      </w:r>
    </w:p>
    <w:p w14:paraId="6B484E6F">
      <w:pPr>
        <w:pStyle w:val="3"/>
        <w:ind w:firstLine="640"/>
      </w:pPr>
      <w:bookmarkStart w:id="107" w:name="_Toc15733"/>
      <w:bookmarkStart w:id="108" w:name="_Toc24390"/>
      <w:bookmarkStart w:id="109" w:name="_Toc28796"/>
      <w:bookmarkStart w:id="110" w:name="_Toc11775"/>
      <w:bookmarkStart w:id="111" w:name="_Toc20175"/>
      <w:r>
        <w:rPr>
          <w:rFonts w:hint="eastAsia"/>
        </w:rPr>
        <w:t>（</w:t>
      </w:r>
      <w:r>
        <w:rPr>
          <w:rFonts w:hint="eastAsia"/>
          <w:lang w:val="en-US" w:eastAsia="zh-CN"/>
        </w:rPr>
        <w:t>三</w:t>
      </w:r>
      <w:r>
        <w:rPr>
          <w:rFonts w:hint="eastAsia"/>
        </w:rPr>
        <w:t>）推动绿色产学研深度融合</w:t>
      </w:r>
      <w:bookmarkEnd w:id="107"/>
      <w:bookmarkEnd w:id="108"/>
      <w:bookmarkEnd w:id="109"/>
      <w:bookmarkEnd w:id="110"/>
      <w:bookmarkEnd w:id="111"/>
    </w:p>
    <w:p w14:paraId="06BB7929">
      <w:pPr>
        <w:ind w:firstLine="643"/>
      </w:pPr>
      <w:r>
        <w:rPr>
          <w:rFonts w:hint="eastAsia"/>
          <w:lang w:val="en-US" w:eastAsia="zh-CN"/>
        </w:rPr>
        <w:t>加强创新能力建设和人才培养，</w:t>
      </w:r>
      <w:r>
        <w:rPr>
          <w:rFonts w:hint="eastAsia"/>
        </w:rPr>
        <w:t>优化碳达峰碳中和领域创新创业生态。深化产教融合，鼓励校企联合开展产学合作协同育人项目，以企业绿色低碳发展用工需求为核心，推进成立名校名企联合实验室，定向培养绿色人才和战略性新兴产业紧缺型人才。引导重点行业龙头企业开放技术合作，吸引更多中小企业参与到创新链关键环节，构建大中小企业、内外资企业、产业链上下游之间的协同创新、资源共享、融合发展生态，打造一批大中小企业融通创新特色载体和示范平台。</w:t>
      </w:r>
      <w:r>
        <w:rPr>
          <w:rFonts w:hint="eastAsia"/>
          <w:b/>
          <w:bCs/>
          <w:lang w:eastAsia="zh-CN"/>
        </w:rPr>
        <w:t>（</w:t>
      </w:r>
      <w:r>
        <w:rPr>
          <w:rFonts w:hint="eastAsia"/>
          <w:b/>
          <w:bCs/>
          <w:lang w:val="en-US" w:eastAsia="zh-CN"/>
        </w:rPr>
        <w:t>责任单位：</w:t>
      </w:r>
      <w:r>
        <w:rPr>
          <w:rFonts w:hint="eastAsia"/>
          <w:b/>
          <w:bCs/>
        </w:rPr>
        <w:t>高新区专项工作组</w:t>
      </w:r>
      <w:r>
        <w:rPr>
          <w:rFonts w:hint="eastAsia"/>
          <w:b/>
          <w:bCs/>
          <w:lang w:eastAsia="zh-CN"/>
        </w:rPr>
        <w:t>、经济发展局）</w:t>
      </w:r>
    </w:p>
    <w:p w14:paraId="53DC827D">
      <w:pPr>
        <w:pStyle w:val="3"/>
        <w:ind w:firstLine="640"/>
      </w:pPr>
      <w:bookmarkStart w:id="112" w:name="_Toc12599"/>
      <w:bookmarkStart w:id="113" w:name="_Toc15261"/>
      <w:bookmarkStart w:id="114" w:name="_Toc32144"/>
      <w:bookmarkStart w:id="115" w:name="_Toc27285"/>
      <w:bookmarkStart w:id="116" w:name="_Toc14467"/>
      <w:r>
        <w:rPr>
          <w:rFonts w:hint="eastAsia"/>
        </w:rPr>
        <w:t>（</w:t>
      </w:r>
      <w:r>
        <w:rPr>
          <w:rFonts w:hint="eastAsia"/>
          <w:lang w:val="en-US" w:eastAsia="zh-CN"/>
        </w:rPr>
        <w:t>四</w:t>
      </w:r>
      <w:r>
        <w:rPr>
          <w:rFonts w:hint="eastAsia"/>
        </w:rPr>
        <w:t>）加快先进适用技术研发和推广应用</w:t>
      </w:r>
      <w:bookmarkEnd w:id="112"/>
      <w:bookmarkEnd w:id="113"/>
      <w:bookmarkEnd w:id="114"/>
      <w:bookmarkEnd w:id="115"/>
      <w:bookmarkEnd w:id="116"/>
    </w:p>
    <w:p w14:paraId="0F0E0685">
      <w:pPr>
        <w:ind w:firstLine="643"/>
        <w:rPr>
          <w:rFonts w:hint="eastAsia"/>
        </w:rPr>
      </w:pPr>
      <w:r>
        <w:rPr>
          <w:rFonts w:hint="eastAsia"/>
        </w:rPr>
        <w:t>积极引导企业参与国家重大科技专项，集中攻关一批节能降碳关键共性技术。扎实推进绿色低碳先进技术示范工程建设，评优奖励最佳节能技术和最佳节能实践。积极培育重点用能产品设备、重点行业企业和公共机构能效“领跑者”。开展煤炭清洁高效利用项目评价，积极推动技术改造升级项目建设。推进新型电力储能技术、多元耦合智慧互联柔性电网等零碳电力技术升级和氢能“制－储－输－用”全链条技术、生物质高附加值再造技术等零碳非电全链条技术创新研发，重点突破可再生能源、储能、氢能、新材料、碳捕集利用与封存等领域关键技术，推广应用二氧化碳加氢制甲醇等化工利用技术。因地制宜实施二氧化碳地质封存。加强集成建筑低碳技术、低碳智慧交通技术和绿色产业转型技术创新和支撑。推动稀土永磁电机、新型冷凝器、特大功率高压变频器、余压余热转换为机械能回收利用、特种非晶电机和非晶电抗器等一批重大、关键节能技术（设备）的示范应用。</w:t>
      </w:r>
      <w:r>
        <w:rPr>
          <w:rFonts w:hint="eastAsia"/>
          <w:b/>
          <w:bCs/>
          <w:lang w:eastAsia="zh-CN"/>
        </w:rPr>
        <w:t>（</w:t>
      </w:r>
      <w:r>
        <w:rPr>
          <w:rFonts w:hint="eastAsia"/>
          <w:b/>
          <w:bCs/>
          <w:lang w:val="en-US" w:eastAsia="zh-CN"/>
        </w:rPr>
        <w:t>责任单位：</w:t>
      </w:r>
      <w:r>
        <w:rPr>
          <w:rFonts w:hint="eastAsia"/>
          <w:b/>
          <w:bCs/>
        </w:rPr>
        <w:t>高新区专项工作组</w:t>
      </w:r>
      <w:r>
        <w:rPr>
          <w:rFonts w:hint="eastAsia"/>
          <w:b/>
          <w:bCs/>
          <w:lang w:eastAsia="zh-CN"/>
        </w:rPr>
        <w:t>、经济发展局、投资促进局）</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4B60A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0" w:type="dxa"/>
          </w:tcPr>
          <w:p w14:paraId="7B67AAE0">
            <w:pPr>
              <w:pStyle w:val="33"/>
              <w:rPr>
                <w:rFonts w:hint="default" w:eastAsia="黑体"/>
                <w:lang w:val="en-US" w:eastAsia="zh-CN"/>
              </w:rPr>
            </w:pPr>
            <w:r>
              <w:rPr>
                <w:rFonts w:hint="eastAsia"/>
              </w:rPr>
              <w:t>专栏</w:t>
            </w:r>
            <w:r>
              <w:rPr>
                <w:rFonts w:hint="eastAsia"/>
                <w:lang w:val="en-US" w:eastAsia="zh-CN"/>
              </w:rPr>
              <w:t>七</w:t>
            </w:r>
            <w:r>
              <w:t xml:space="preserve"> </w:t>
            </w:r>
            <w:r>
              <w:rPr>
                <w:rFonts w:hint="eastAsia"/>
                <w:lang w:val="en-US" w:eastAsia="zh-CN"/>
              </w:rPr>
              <w:t>推进产业创新研究</w:t>
            </w:r>
          </w:p>
        </w:tc>
      </w:tr>
      <w:tr w14:paraId="43E2F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7EA800FE">
            <w:pPr>
              <w:pStyle w:val="61"/>
              <w:rPr>
                <w:rFonts w:hint="eastAsia"/>
              </w:rPr>
            </w:pPr>
            <w:r>
              <w:rPr>
                <w:rFonts w:hint="eastAsia"/>
                <w:lang w:val="en-US" w:eastAsia="zh-CN"/>
              </w:rPr>
              <w:t>推进</w:t>
            </w:r>
            <w:r>
              <w:rPr>
                <w:rFonts w:hint="eastAsia"/>
              </w:rPr>
              <w:t>新疆大全新能源股份有限公司兵团光伏材料产业创新研究院</w:t>
            </w:r>
            <w:r>
              <w:rPr>
                <w:rFonts w:hint="eastAsia"/>
                <w:lang w:val="en-US" w:eastAsia="zh-CN"/>
              </w:rPr>
              <w:t>研究工作</w:t>
            </w:r>
            <w:r>
              <w:t>。</w:t>
            </w:r>
            <w:r>
              <w:rPr>
                <w:rFonts w:hint="eastAsia"/>
                <w:lang w:val="en-US" w:eastAsia="zh-CN"/>
              </w:rPr>
              <w:t>一是</w:t>
            </w:r>
            <w:r>
              <w:rPr>
                <w:rFonts w:hint="eastAsia"/>
              </w:rPr>
              <w:t>围绕高纯多晶硅生产技术，新疆大全承建，高校协助共建，承担人才引进培养、兵团等重大创新项目攻关，力求在高纯多晶硅制造技术、多聚氯硅烷成套技术、电子级多晶硅生产成套技术、N型高效单晶用料生产成套技术与示范等新技术方面取得新突破</w:t>
            </w:r>
            <w:r>
              <w:rPr>
                <w:rFonts w:hint="eastAsia"/>
                <w:lang w:eastAsia="zh-CN"/>
              </w:rPr>
              <w:t>；</w:t>
            </w:r>
            <w:r>
              <w:rPr>
                <w:rFonts w:hint="eastAsia"/>
                <w:lang w:val="en-US" w:eastAsia="zh-CN"/>
              </w:rPr>
              <w:t>二是</w:t>
            </w:r>
            <w:r>
              <w:rPr>
                <w:rFonts w:hint="eastAsia"/>
              </w:rPr>
              <w:t>围绕高质量、低能耗、低成本三大板块优化提升高纯多晶硅生产技术</w:t>
            </w:r>
            <w:r>
              <w:rPr>
                <w:rFonts w:hint="eastAsia"/>
                <w:lang w:eastAsia="zh-CN"/>
              </w:rPr>
              <w:t>；</w:t>
            </w:r>
            <w:r>
              <w:rPr>
                <w:rFonts w:hint="eastAsia"/>
              </w:rPr>
              <w:t>三是优化渣浆处理系统固废转化回收技术、高盐废水蒸发结晶回用氯碱装置技术、中水回收净化处理闭路循环等瓶颈环节，实现高纯多晶硅生产技术绿色、环保、可持续、循环发展。</w:t>
            </w:r>
          </w:p>
          <w:p w14:paraId="78FBE9FE">
            <w:pPr>
              <w:pStyle w:val="61"/>
              <w:rPr>
                <w:rFonts w:hint="eastAsia" w:eastAsia="宋体"/>
                <w:lang w:val="en-US" w:eastAsia="zh-CN"/>
              </w:rPr>
            </w:pPr>
            <w:r>
              <w:rPr>
                <w:rFonts w:hint="eastAsia"/>
                <w:lang w:val="en-US" w:eastAsia="zh-CN"/>
              </w:rPr>
              <w:t>推进</w:t>
            </w:r>
            <w:r>
              <w:rPr>
                <w:rFonts w:hint="eastAsia"/>
              </w:rPr>
              <w:t>新疆天富能源股份有限公司兵团新能源产业创新研究院</w:t>
            </w:r>
            <w:r>
              <w:rPr>
                <w:rFonts w:hint="eastAsia"/>
                <w:lang w:val="en-US" w:eastAsia="zh-CN"/>
              </w:rPr>
              <w:t>研究工作。一是</w:t>
            </w:r>
            <w:r>
              <w:rPr>
                <w:rFonts w:hint="eastAsia"/>
              </w:rPr>
              <w:t>开展光伏智慧电站、煤电机组灵活性改造+余热利用、电网友好型储能技术等新能源领域信息化、新材料方面的共性技术攻关，新产品、新技术、新工艺的研发，智能化、数字化、绿色化研究等创新性项目</w:t>
            </w:r>
            <w:r>
              <w:rPr>
                <w:rFonts w:hint="eastAsia"/>
                <w:lang w:eastAsia="zh-CN"/>
              </w:rPr>
              <w:t>；</w:t>
            </w:r>
            <w:r>
              <w:rPr>
                <w:rFonts w:hint="eastAsia"/>
                <w:lang w:val="en-US" w:eastAsia="zh-CN"/>
              </w:rPr>
              <w:t>二是</w:t>
            </w:r>
            <w:r>
              <w:rPr>
                <w:rFonts w:hint="eastAsia"/>
              </w:rPr>
              <w:t>加强工研院工业节能降碳与煤电机组灵活性改造方面的科技创新实力，夯实新能源大规模接入后深度调峰技术基础</w:t>
            </w:r>
            <w:r>
              <w:rPr>
                <w:rFonts w:hint="eastAsia"/>
                <w:lang w:eastAsia="zh-CN"/>
              </w:rPr>
              <w:t>。</w:t>
            </w:r>
          </w:p>
        </w:tc>
      </w:tr>
    </w:tbl>
    <w:p w14:paraId="2F767B9A">
      <w:pPr>
        <w:rPr>
          <w:rFonts w:hint="eastAsia"/>
          <w:highlight w:val="none"/>
        </w:rPr>
      </w:pPr>
      <w:bookmarkStart w:id="117" w:name="_Toc20629"/>
      <w:bookmarkStart w:id="118" w:name="_Toc19397"/>
      <w:bookmarkStart w:id="119" w:name="_Toc2728"/>
      <w:bookmarkStart w:id="120" w:name="_Toc8623"/>
      <w:r>
        <w:rPr>
          <w:rFonts w:hint="eastAsia"/>
          <w:highlight w:val="none"/>
        </w:rPr>
        <w:br w:type="page"/>
      </w:r>
    </w:p>
    <w:p w14:paraId="02CB9374">
      <w:pPr>
        <w:pStyle w:val="2"/>
        <w:ind w:firstLine="640"/>
        <w:rPr>
          <w:highlight w:val="none"/>
        </w:rPr>
      </w:pPr>
      <w:bookmarkStart w:id="121" w:name="_Toc8449"/>
      <w:r>
        <w:rPr>
          <w:rFonts w:hint="eastAsia"/>
          <w:highlight w:val="none"/>
        </w:rPr>
        <w:t>五、重点工程</w:t>
      </w:r>
      <w:bookmarkEnd w:id="117"/>
      <w:bookmarkEnd w:id="118"/>
      <w:bookmarkEnd w:id="119"/>
      <w:r>
        <w:rPr>
          <w:rFonts w:hint="eastAsia"/>
          <w:highlight w:val="none"/>
        </w:rPr>
        <w:t>（滚动更新）</w:t>
      </w:r>
      <w:bookmarkEnd w:id="120"/>
      <w:bookmarkEnd w:id="121"/>
    </w:p>
    <w:p w14:paraId="70A69279">
      <w:pPr>
        <w:ind w:firstLine="640"/>
        <w:rPr>
          <w:rFonts w:hint="eastAsia"/>
          <w:lang w:eastAsia="zh-CN"/>
        </w:rPr>
      </w:pPr>
      <w:r>
        <w:rPr>
          <w:rFonts w:hint="eastAsia"/>
          <w:lang w:eastAsia="zh-CN"/>
        </w:rPr>
        <w:t>石河子</w:t>
      </w:r>
      <w:r>
        <w:rPr>
          <w:rFonts w:hint="eastAsia"/>
        </w:rPr>
        <w:t>经开区紧扣</w:t>
      </w:r>
      <w:r>
        <w:rPr>
          <w:rFonts w:hint="eastAsia"/>
          <w:lang w:val="en-US" w:eastAsia="zh-CN"/>
        </w:rPr>
        <w:t>建设目标和重点任务，立足自身</w:t>
      </w:r>
      <w:r>
        <w:rPr>
          <w:rFonts w:hint="eastAsia"/>
        </w:rPr>
        <w:t>绿色低碳发展现状，</w:t>
      </w:r>
      <w:r>
        <w:rPr>
          <w:rFonts w:hint="eastAsia"/>
          <w:highlight w:val="none"/>
          <w:lang w:val="en-US" w:eastAsia="zh-CN"/>
        </w:rPr>
        <w:t>在产业绿色发展、</w:t>
      </w:r>
      <w:r>
        <w:rPr>
          <w:rFonts w:hint="eastAsia"/>
          <w:highlight w:val="none"/>
        </w:rPr>
        <w:t>能源基础设施、节能降碳改造、绿色低碳先进技术示范、</w:t>
      </w:r>
      <w:r>
        <w:rPr>
          <w:rFonts w:hint="eastAsia"/>
          <w:highlight w:val="none"/>
          <w:lang w:val="en-US" w:eastAsia="zh-CN"/>
        </w:rPr>
        <w:t>绿色建筑交通、</w:t>
      </w:r>
      <w:r>
        <w:rPr>
          <w:rFonts w:hint="eastAsia"/>
          <w:highlight w:val="none"/>
        </w:rPr>
        <w:t>循环经济发展</w:t>
      </w:r>
      <w:r>
        <w:rPr>
          <w:rFonts w:hint="eastAsia"/>
          <w:highlight w:val="none"/>
          <w:lang w:eastAsia="zh-CN"/>
        </w:rPr>
        <w:t>、</w:t>
      </w:r>
      <w:r>
        <w:rPr>
          <w:rFonts w:hint="eastAsia"/>
          <w:highlight w:val="none"/>
          <w:lang w:val="en-US" w:eastAsia="zh-CN"/>
        </w:rPr>
        <w:t>平台科技创新</w:t>
      </w:r>
      <w:r>
        <w:rPr>
          <w:rFonts w:hint="eastAsia"/>
          <w:highlight w:val="none"/>
        </w:rPr>
        <w:t>等领域谋划建设</w:t>
      </w:r>
      <w:r>
        <w:rPr>
          <w:rFonts w:hint="eastAsia"/>
          <w:highlight w:val="none"/>
          <w:lang w:val="en-US" w:eastAsia="zh-CN"/>
        </w:rPr>
        <w:t>51</w:t>
      </w:r>
      <w:r>
        <w:rPr>
          <w:rFonts w:hint="eastAsia"/>
          <w:highlight w:val="none"/>
        </w:rPr>
        <w:t>个重点项目，计划总投资378.86亿元</w:t>
      </w:r>
      <w:r>
        <w:rPr>
          <w:rFonts w:hint="eastAsia"/>
          <w:highlight w:val="none"/>
          <w:lang w:eastAsia="zh-CN"/>
        </w:rPr>
        <w:t>。</w:t>
      </w:r>
    </w:p>
    <w:p w14:paraId="4C56B903">
      <w:pPr>
        <w:pStyle w:val="3"/>
        <w:ind w:firstLine="640"/>
        <w:rPr>
          <w:rFonts w:hint="default" w:eastAsia="楷体_GB2312"/>
          <w:lang w:val="en-US" w:eastAsia="zh-CN"/>
        </w:rPr>
      </w:pPr>
      <w:bookmarkStart w:id="122" w:name="_Toc25222"/>
      <w:bookmarkStart w:id="123" w:name="_Toc29054"/>
      <w:r>
        <w:rPr>
          <w:rFonts w:hint="eastAsia"/>
        </w:rPr>
        <w:t>（</w:t>
      </w:r>
      <w:r>
        <w:rPr>
          <w:rFonts w:hint="eastAsia"/>
          <w:lang w:val="en-US" w:eastAsia="zh-CN"/>
        </w:rPr>
        <w:t>一</w:t>
      </w:r>
      <w:r>
        <w:rPr>
          <w:rFonts w:hint="eastAsia"/>
        </w:rPr>
        <w:t>）产业绿色发展</w:t>
      </w:r>
      <w:r>
        <w:rPr>
          <w:rFonts w:hint="eastAsia"/>
          <w:lang w:val="en-US" w:eastAsia="zh-CN"/>
        </w:rPr>
        <w:t>项目</w:t>
      </w:r>
      <w:bookmarkEnd w:id="122"/>
      <w:bookmarkEnd w:id="123"/>
    </w:p>
    <w:p w14:paraId="6F4603B2">
      <w:pPr>
        <w:ind w:firstLine="640"/>
        <w:rPr>
          <w:rFonts w:hint="eastAsia"/>
          <w:lang w:val="en-US" w:eastAsia="zh-CN"/>
        </w:rPr>
      </w:pPr>
      <w:r>
        <w:rPr>
          <w:rFonts w:hint="eastAsia"/>
          <w:lang w:eastAsia="zh-CN"/>
        </w:rPr>
        <w:t>产业绿色发展项目</w:t>
      </w:r>
      <w:r>
        <w:rPr>
          <w:rFonts w:hint="eastAsia"/>
          <w:lang w:val="en-US" w:eastAsia="zh-CN"/>
        </w:rPr>
        <w:t>7项，</w:t>
      </w:r>
      <w:r>
        <w:rPr>
          <w:rFonts w:hint="eastAsia"/>
        </w:rPr>
        <w:t>总投资179.37亿元，</w:t>
      </w:r>
      <w:r>
        <w:rPr>
          <w:rFonts w:hint="eastAsia"/>
          <w:lang w:val="en-US" w:eastAsia="zh-CN"/>
        </w:rPr>
        <w:t>包括新疆天业灵通新材料科技有限公司年产120万吨绿色氨基新材料多联产一体化项目、中科一碳能源科技（大连）有限公司年产60万吨液态阳光绿电甲醇综合利用等重大项目。</w:t>
      </w:r>
    </w:p>
    <w:p w14:paraId="7F747563">
      <w:pPr>
        <w:ind w:firstLine="640"/>
        <w:rPr>
          <w:rFonts w:hint="eastAsia"/>
          <w:lang w:val="en-US" w:eastAsia="zh-CN"/>
        </w:rPr>
      </w:pPr>
      <w:r>
        <w:rPr>
          <w:rFonts w:hint="eastAsia"/>
          <w:b/>
          <w:bCs/>
          <w:lang w:val="en-US" w:eastAsia="zh-CN"/>
        </w:rPr>
        <w:t>新疆天业灵通新材料科技有限公司年产120万吨绿色氨基新材料多联产一体化项目。</w:t>
      </w:r>
      <w:r>
        <w:rPr>
          <w:rFonts w:hint="eastAsia"/>
          <w:b w:val="0"/>
          <w:bCs w:val="0"/>
          <w:lang w:val="en-US" w:eastAsia="zh-CN"/>
        </w:rPr>
        <w:t>项目</w:t>
      </w:r>
      <w:r>
        <w:rPr>
          <w:rFonts w:hint="eastAsia"/>
          <w:lang w:val="en-US" w:eastAsia="zh-CN"/>
        </w:rPr>
        <w:t>建设规模：建设70万吨/年合成氨、120万吨/年尿素、240万吨复合肥、8万吨/年聚甲醛、0.43万吨/年硫磺（副产品）。项目建设内容：主要生产系统包括空分装置、煤气化装置、合成气净化装置、硫回收装置、合成氨装置、尿素装置、复合肥装置、聚甲醛装置等。辅助及附属生产系统包括厂区办公楼、食堂、会议楼、控制中心、化验室、成品罐区、原水净化站、循环冷却水站、除盐水站、污水处理站、厂区供配电站、全厂事故水池及火炬系统等。新建装置界区内总图、储运、管廊及地下管网、道路照明、化验、消防、电讯及信息系统和绿化等。</w:t>
      </w:r>
    </w:p>
    <w:p w14:paraId="3129A511">
      <w:pPr>
        <w:ind w:firstLine="640"/>
        <w:rPr>
          <w:rFonts w:hint="eastAsia"/>
          <w:lang w:val="en-US" w:eastAsia="zh-CN"/>
        </w:rPr>
      </w:pPr>
      <w:r>
        <w:rPr>
          <w:rFonts w:hint="default"/>
          <w:b/>
          <w:bCs/>
          <w:lang w:val="en-US" w:eastAsia="zh-CN"/>
        </w:rPr>
        <w:t>中科一碳能源科技（大连）有限公司年产60万吨液态阳光绿电甲醇综合利用项目</w:t>
      </w:r>
      <w:r>
        <w:rPr>
          <w:rFonts w:hint="eastAsia"/>
          <w:b/>
          <w:bCs/>
          <w:lang w:val="en-US" w:eastAsia="zh-CN"/>
        </w:rPr>
        <w:t>。</w:t>
      </w:r>
      <w:r>
        <w:rPr>
          <w:rFonts w:hint="eastAsia"/>
          <w:lang w:val="en-US" w:eastAsia="zh-CN"/>
        </w:rPr>
        <w:t>项目包括以下建设内容：项目1，投资51亿元，建设1.8GW光伏电站及相关配套设施（光伏电站所发电量全部用于项目2制氢）；项目2，投资22亿元，建设年产5.4亿标方的电解水制氢工厂；项目3，投资16.8亿元，建设年产60万吨的液态阳光绿电甲醇合成工厂；项目4，投资1.2亿元，建设甲醇加注站40个；同时根据项目进度及市场情况拟配套建设一个专用车改装厂。本项目通过“光伏发电—绿氢制备—甲醇合成—终端应用”全链条布局，构建了可再生能源规模化利用与低碳燃料产业化的创新模式，不仅直接减少碳排放，更重塑了“能源生产—燃料转化—终端消费”的绿色价值链，对加速我国氢能经济落地、推动工业领域深度脱碳具有标杆意义。</w:t>
      </w:r>
    </w:p>
    <w:p w14:paraId="1A14A042">
      <w:pPr>
        <w:pStyle w:val="3"/>
        <w:ind w:firstLine="640"/>
        <w:rPr>
          <w:rFonts w:hint="default" w:eastAsia="楷体_GB2312"/>
          <w:lang w:val="en-US" w:eastAsia="zh-CN"/>
        </w:rPr>
      </w:pPr>
      <w:bookmarkStart w:id="124" w:name="_Toc14030"/>
      <w:bookmarkStart w:id="125" w:name="_Toc9611"/>
      <w:bookmarkStart w:id="126" w:name="_Toc19671"/>
      <w:bookmarkStart w:id="127" w:name="_Toc18006"/>
      <w:bookmarkStart w:id="128" w:name="_Toc26225"/>
      <w:r>
        <w:rPr>
          <w:rFonts w:hint="eastAsia"/>
        </w:rPr>
        <w:t>（</w:t>
      </w:r>
      <w:r>
        <w:rPr>
          <w:rFonts w:hint="eastAsia"/>
          <w:lang w:val="en-US" w:eastAsia="zh-CN"/>
        </w:rPr>
        <w:t>二</w:t>
      </w:r>
      <w:r>
        <w:rPr>
          <w:rFonts w:hint="eastAsia"/>
        </w:rPr>
        <w:t>）</w:t>
      </w:r>
      <w:r>
        <w:rPr>
          <w:rFonts w:hint="eastAsia"/>
          <w:lang w:val="en-US" w:eastAsia="zh-CN"/>
        </w:rPr>
        <w:t>能源基础设施项目</w:t>
      </w:r>
      <w:bookmarkEnd w:id="124"/>
      <w:bookmarkEnd w:id="125"/>
      <w:bookmarkEnd w:id="126"/>
      <w:bookmarkEnd w:id="127"/>
      <w:bookmarkEnd w:id="128"/>
    </w:p>
    <w:p w14:paraId="1927A31C">
      <w:pPr>
        <w:ind w:firstLine="640"/>
        <w:rPr>
          <w:rFonts w:hint="eastAsia"/>
          <w:lang w:val="en-US" w:eastAsia="zh-CN"/>
        </w:rPr>
      </w:pPr>
      <w:r>
        <w:rPr>
          <w:rFonts w:hint="eastAsia"/>
        </w:rPr>
        <w:t>能源基础设施项目</w:t>
      </w:r>
      <w:r>
        <w:rPr>
          <w:rFonts w:hint="eastAsia"/>
          <w:lang w:val="en-US" w:eastAsia="zh-CN"/>
        </w:rPr>
        <w:t>3</w:t>
      </w:r>
      <w:r>
        <w:rPr>
          <w:rFonts w:hint="eastAsia"/>
        </w:rPr>
        <w:t>项，总投资3.17亿元，</w:t>
      </w:r>
      <w:r>
        <w:rPr>
          <w:rFonts w:hint="eastAsia"/>
          <w:lang w:val="en-US" w:eastAsia="zh-CN"/>
        </w:rPr>
        <w:t>包括新疆天采能源科技有限公司10GWh先进储能系统产业园（一期）项目、</w:t>
      </w:r>
      <w:r>
        <w:rPr>
          <w:rFonts w:hint="eastAsia"/>
        </w:rPr>
        <w:t>石河子市西部宁新碳素有限公司清洁能源替代改造工程</w:t>
      </w:r>
      <w:r>
        <w:rPr>
          <w:rFonts w:hint="eastAsia"/>
          <w:lang w:val="en-US" w:eastAsia="zh-CN"/>
        </w:rPr>
        <w:t>等重点项目。</w:t>
      </w:r>
    </w:p>
    <w:p w14:paraId="72F37BC1">
      <w:pPr>
        <w:ind w:firstLine="640"/>
        <w:rPr>
          <w:rFonts w:hint="eastAsia"/>
          <w:lang w:val="en-US" w:eastAsia="zh-CN"/>
        </w:rPr>
      </w:pPr>
      <w:r>
        <w:rPr>
          <w:rFonts w:hint="eastAsia"/>
          <w:b/>
          <w:bCs/>
          <w:lang w:val="en-US" w:eastAsia="zh-CN"/>
        </w:rPr>
        <w:t>新疆天采能源科技有限公司10GWh先进储能系统产业园（一期）项目</w:t>
      </w:r>
      <w:r>
        <w:rPr>
          <w:rFonts w:hint="eastAsia"/>
          <w:lang w:val="en-US" w:eastAsia="zh-CN"/>
        </w:rPr>
        <w:t>。总建设规模10GWh锂电池储能系统，一期建设2GWh锂电池储能系统。建设内容：（1）主要生产系统：建设锂电池先进储能系统，配套锂电池储能系统集成、储能集装箱、磷酸铁锂储能电池Pack+模组、储能电池Pack壳体。（2）辅助生产系统：建设给排水系统、供配电系统、采暖、通风系统、综合楼、食堂等。（3）附属生产系统：建设控制系统等。本项目为石河子经开区带来新的经济增长点，推动新能源产业快速发展，为加快推进师市新质生产力、能源数智化运营建设作出积极贡献。</w:t>
      </w:r>
    </w:p>
    <w:p w14:paraId="33ECF15B">
      <w:pPr>
        <w:ind w:firstLine="640"/>
        <w:rPr>
          <w:rFonts w:hint="eastAsia"/>
          <w:lang w:val="en-US" w:eastAsia="zh-CN"/>
        </w:rPr>
      </w:pPr>
      <w:r>
        <w:rPr>
          <w:rFonts w:hint="eastAsia"/>
          <w:b/>
          <w:bCs/>
          <w:lang w:val="en-US" w:eastAsia="zh-CN"/>
        </w:rPr>
        <w:t>石河子市西部宁新碳素有限公司清洁能源替代改造工程项目</w:t>
      </w:r>
      <w:r>
        <w:rPr>
          <w:rFonts w:hint="eastAsia"/>
          <w:lang w:val="en-US" w:eastAsia="zh-CN"/>
        </w:rPr>
        <w:t>。建设新增一条天然气管线，新增天然气减压系统及天然气报警系统，系统投运后，预计每年可以减少27000吨标煤使用。</w:t>
      </w:r>
    </w:p>
    <w:p w14:paraId="24B1DF39">
      <w:pPr>
        <w:pStyle w:val="3"/>
        <w:ind w:firstLine="640"/>
        <w:rPr>
          <w:rFonts w:hint="default" w:eastAsia="楷体_GB2312"/>
          <w:lang w:val="en-US" w:eastAsia="zh-CN"/>
        </w:rPr>
      </w:pPr>
      <w:bookmarkStart w:id="129" w:name="_Toc3754"/>
      <w:bookmarkStart w:id="130" w:name="_Toc15540"/>
      <w:bookmarkStart w:id="131" w:name="_Toc5335"/>
      <w:bookmarkStart w:id="132" w:name="_Toc17650"/>
      <w:bookmarkStart w:id="133" w:name="_Toc23006"/>
      <w:r>
        <w:rPr>
          <w:rFonts w:hint="eastAsia"/>
        </w:rPr>
        <w:t>（</w:t>
      </w:r>
      <w:r>
        <w:rPr>
          <w:rFonts w:hint="eastAsia"/>
          <w:lang w:val="en-US" w:eastAsia="zh-CN"/>
        </w:rPr>
        <w:t>三</w:t>
      </w:r>
      <w:r>
        <w:rPr>
          <w:rFonts w:hint="eastAsia"/>
        </w:rPr>
        <w:t>）</w:t>
      </w:r>
      <w:r>
        <w:rPr>
          <w:rFonts w:hint="eastAsia"/>
          <w:lang w:val="en-US" w:eastAsia="zh-CN"/>
        </w:rPr>
        <w:t>节能降碳改造项目</w:t>
      </w:r>
      <w:bookmarkEnd w:id="129"/>
      <w:bookmarkEnd w:id="130"/>
      <w:bookmarkEnd w:id="131"/>
      <w:bookmarkEnd w:id="132"/>
      <w:bookmarkEnd w:id="133"/>
    </w:p>
    <w:p w14:paraId="4E08FC31">
      <w:pPr>
        <w:ind w:firstLine="640"/>
        <w:rPr>
          <w:rFonts w:hint="eastAsia"/>
          <w:lang w:eastAsia="zh-CN"/>
        </w:rPr>
      </w:pPr>
      <w:r>
        <w:rPr>
          <w:rFonts w:hint="eastAsia"/>
          <w:lang w:val="en-US" w:eastAsia="zh-CN"/>
        </w:rPr>
        <w:t>节能降碳改造项目13项，</w:t>
      </w:r>
      <w:r>
        <w:rPr>
          <w:rFonts w:hint="eastAsia"/>
        </w:rPr>
        <w:t>总投资46.17亿元</w:t>
      </w:r>
      <w:r>
        <w:rPr>
          <w:rFonts w:hint="eastAsia"/>
          <w:lang w:eastAsia="zh-CN"/>
        </w:rPr>
        <w:t>，</w:t>
      </w:r>
      <w:r>
        <w:rPr>
          <w:rFonts w:hint="eastAsia"/>
          <w:lang w:val="en-US" w:eastAsia="zh-CN"/>
        </w:rPr>
        <w:t>包括天山铝业新型节能降碳铝电解槽技术优化及应用项目、石河子经济技术开发区规模以上工业企业设备更新项目等重点项目</w:t>
      </w:r>
      <w:r>
        <w:rPr>
          <w:rFonts w:hint="eastAsia"/>
          <w:lang w:eastAsia="zh-CN"/>
        </w:rPr>
        <w:t>。</w:t>
      </w:r>
    </w:p>
    <w:p w14:paraId="61265BB5">
      <w:pPr>
        <w:ind w:firstLine="640"/>
        <w:rPr>
          <w:rFonts w:hint="eastAsia"/>
          <w:lang w:val="en-US" w:eastAsia="zh-CN"/>
        </w:rPr>
      </w:pPr>
      <w:r>
        <w:rPr>
          <w:rFonts w:hint="eastAsia"/>
          <w:b/>
          <w:bCs/>
          <w:lang w:val="en-US" w:eastAsia="zh-CN"/>
        </w:rPr>
        <w:t>天山铝业新型节能降碳铝电解槽技术优化及应用项目。</w:t>
      </w:r>
      <w:r>
        <w:rPr>
          <w:rFonts w:hint="eastAsia"/>
          <w:lang w:val="en-US" w:eastAsia="zh-CN"/>
        </w:rPr>
        <w:t>项目购置磷生铁浇筑阴极钢棒预热装置，应用新型铝电解槽节能技术，对天山铝业750台电解槽400kA级电解槽实施节能升级改造。项目改造后，预计年节能量为40310吨标准煤。</w:t>
      </w:r>
    </w:p>
    <w:p w14:paraId="1026F61A">
      <w:pPr>
        <w:ind w:firstLine="640"/>
        <w:rPr>
          <w:rFonts w:hint="default" w:eastAsia="仿宋_GB2312"/>
          <w:lang w:val="en-US" w:eastAsia="zh-CN"/>
        </w:rPr>
      </w:pPr>
      <w:r>
        <w:rPr>
          <w:rFonts w:hint="eastAsia"/>
          <w:b/>
          <w:bCs/>
        </w:rPr>
        <w:t>石河子经济技术开发区规模以上工业企业设备更新</w:t>
      </w:r>
      <w:r>
        <w:rPr>
          <w:rFonts w:hint="eastAsia"/>
          <w:b/>
          <w:bCs/>
          <w:lang w:val="en-US" w:eastAsia="zh-CN"/>
        </w:rPr>
        <w:t>项目。</w:t>
      </w:r>
      <w:r>
        <w:rPr>
          <w:rFonts w:hint="eastAsia"/>
        </w:rPr>
        <w:t>鼓励</w:t>
      </w:r>
      <w:r>
        <w:rPr>
          <w:rFonts w:hint="eastAsia"/>
          <w:lang w:val="en-US" w:eastAsia="zh-CN"/>
        </w:rPr>
        <w:t>全区规模以上工业企业</w:t>
      </w:r>
      <w:r>
        <w:rPr>
          <w:rFonts w:hint="eastAsia"/>
        </w:rPr>
        <w:t>开展节能减碳技改，加快推动重点用能设备更新升级。</w:t>
      </w:r>
      <w:r>
        <w:rPr>
          <w:rFonts w:hint="eastAsia"/>
          <w:lang w:val="en-US" w:eastAsia="zh-CN"/>
        </w:rPr>
        <w:t>开展时间为2024年至2027年，预计总投资30亿元。</w:t>
      </w:r>
    </w:p>
    <w:p w14:paraId="1FE1BCD4">
      <w:pPr>
        <w:pStyle w:val="3"/>
        <w:ind w:firstLine="640"/>
        <w:rPr>
          <w:rFonts w:hint="default" w:eastAsia="楷体_GB2312"/>
          <w:lang w:val="en-US" w:eastAsia="zh-CN"/>
        </w:rPr>
      </w:pPr>
      <w:bookmarkStart w:id="134" w:name="_Toc6445"/>
      <w:bookmarkStart w:id="135" w:name="_Toc13414"/>
      <w:bookmarkStart w:id="136" w:name="_Toc28765"/>
      <w:bookmarkStart w:id="137" w:name="_Toc11789"/>
      <w:bookmarkStart w:id="138" w:name="_Toc4517"/>
      <w:r>
        <w:rPr>
          <w:rFonts w:hint="eastAsia"/>
        </w:rPr>
        <w:t>（</w:t>
      </w:r>
      <w:r>
        <w:rPr>
          <w:rFonts w:hint="eastAsia"/>
          <w:lang w:val="en-US" w:eastAsia="zh-CN"/>
        </w:rPr>
        <w:t>四</w:t>
      </w:r>
      <w:r>
        <w:rPr>
          <w:rFonts w:hint="eastAsia"/>
        </w:rPr>
        <w:t>）</w:t>
      </w:r>
      <w:r>
        <w:rPr>
          <w:rFonts w:hint="eastAsia"/>
          <w:lang w:val="en-US" w:eastAsia="zh-CN"/>
        </w:rPr>
        <w:t>绿色低碳先进技术示范项目</w:t>
      </w:r>
      <w:bookmarkEnd w:id="134"/>
      <w:bookmarkEnd w:id="135"/>
      <w:bookmarkEnd w:id="136"/>
      <w:bookmarkEnd w:id="137"/>
      <w:bookmarkEnd w:id="138"/>
    </w:p>
    <w:p w14:paraId="45F445DF">
      <w:pPr>
        <w:ind w:firstLine="640"/>
        <w:rPr>
          <w:rFonts w:hint="eastAsia"/>
          <w:lang w:val="en-US" w:eastAsia="zh-CN"/>
        </w:rPr>
      </w:pPr>
      <w:r>
        <w:rPr>
          <w:rFonts w:hint="eastAsia"/>
          <w:lang w:val="en-US" w:eastAsia="zh-CN"/>
        </w:rPr>
        <w:t>绿色低碳先进技术示范项目5项，</w:t>
      </w:r>
      <w:r>
        <w:rPr>
          <w:rFonts w:hint="eastAsia"/>
        </w:rPr>
        <w:t>总投资64.56亿元</w:t>
      </w:r>
      <w:r>
        <w:rPr>
          <w:rFonts w:hint="eastAsia"/>
          <w:lang w:eastAsia="zh-CN"/>
        </w:rPr>
        <w:t>，</w:t>
      </w:r>
      <w:r>
        <w:rPr>
          <w:rFonts w:hint="eastAsia"/>
          <w:lang w:val="en-US" w:eastAsia="zh-CN"/>
        </w:rPr>
        <w:t>包括</w:t>
      </w:r>
      <w:r>
        <w:rPr>
          <w:rFonts w:hint="eastAsia"/>
        </w:rPr>
        <w:t>中清先进电池制造（石河子）有限公司6GW高效电池智能制造</w:t>
      </w:r>
      <w:r>
        <w:rPr>
          <w:rFonts w:hint="eastAsia"/>
          <w:lang w:val="en-US" w:eastAsia="zh-CN"/>
        </w:rPr>
        <w:t>项目、新疆国融氢能科技有限公司氢燃料全产业链项目、新疆敦华280万吨二氧化碳捕集及应用工程项目、国华（石河子）新能源有限公司绿氢减碳创新应用示范项目等重点项目。</w:t>
      </w:r>
    </w:p>
    <w:p w14:paraId="6AC50EEF">
      <w:pPr>
        <w:ind w:firstLine="640"/>
        <w:rPr>
          <w:rFonts w:hint="eastAsia"/>
          <w:lang w:val="en-US" w:eastAsia="zh-CN"/>
        </w:rPr>
      </w:pPr>
      <w:r>
        <w:rPr>
          <w:rFonts w:hint="default"/>
          <w:b/>
          <w:bCs/>
          <w:lang w:val="en-US" w:eastAsia="zh-CN"/>
        </w:rPr>
        <w:t>中清先进电池制造（石河子）有限公司6GW高效电池智能制造项目</w:t>
      </w:r>
      <w:r>
        <w:rPr>
          <w:rFonts w:hint="eastAsia"/>
          <w:lang w:val="en-US" w:eastAsia="zh-CN"/>
        </w:rPr>
        <w:t>。项目产品为TOPCon电池片，主要应用于光伏产品和光伏发电系统领域。</w:t>
      </w:r>
      <w:r>
        <w:rPr>
          <w:rFonts w:hint="eastAsia"/>
        </w:rPr>
        <w:t>本项目新征土地，项目总规划用地面积约350亩，总建筑面积约2221572m2。主要建筑包括：1个电池车间、1个废水处理站、1个空分制氮站、1个动力中心、垃圾房等，以及室外道路及周转场地、厂区管网系统、绿化、围墙、大门等，建设完成后形成年产6GW TOPCon电池。本项目建设起点高，选用工艺设备先进，产品质量有保证，能创造良好效益，对国内光伏行业发展产生积极促进作用</w:t>
      </w:r>
      <w:r>
        <w:rPr>
          <w:rFonts w:hint="eastAsia"/>
          <w:lang w:val="en-US" w:eastAsia="zh-CN"/>
        </w:rPr>
        <w:t>。</w:t>
      </w:r>
    </w:p>
    <w:p w14:paraId="37C91693">
      <w:pPr>
        <w:ind w:firstLine="640"/>
        <w:rPr>
          <w:rFonts w:hint="eastAsia"/>
          <w:lang w:val="en-US" w:eastAsia="zh-CN"/>
        </w:rPr>
      </w:pPr>
      <w:r>
        <w:rPr>
          <w:rFonts w:hint="eastAsia"/>
          <w:b/>
          <w:bCs/>
          <w:lang w:val="en-US" w:eastAsia="zh-CN"/>
        </w:rPr>
        <w:t>新疆国融氢能科技有限公司氢燃料全产业链项目</w:t>
      </w:r>
      <w:r>
        <w:rPr>
          <w:rFonts w:hint="eastAsia"/>
          <w:lang w:val="en-US" w:eastAsia="zh-CN"/>
        </w:rPr>
        <w:t>。分三期建设年产2000辆燃料电池改装车生产线、燃料电池和零部件生产线、工程机械生产基地、20座制氢加氢一体站以及2个制氢工厂（20吨）。</w:t>
      </w:r>
    </w:p>
    <w:p w14:paraId="79DA93C4">
      <w:pPr>
        <w:ind w:firstLine="640"/>
        <w:rPr>
          <w:rFonts w:hint="default"/>
          <w:lang w:val="en-US" w:eastAsia="zh-CN"/>
        </w:rPr>
      </w:pPr>
      <w:r>
        <w:rPr>
          <w:rFonts w:hint="eastAsia"/>
          <w:lang w:val="en-US" w:eastAsia="zh-CN"/>
        </w:rPr>
        <w:t>新疆敦华280万吨二氧化碳捕集及应用工程项目。项目新建280万吨二氧化碳捕集及配套设施。二氧化碳捕集站一座，含干燥脱水系统一套、PSA吸脱附系统一套、离心压缩机一套，常温制冷机一套、循环水系统一套、配电室、综控室，年捕集二氧化碳规模280万吨。二氧化碳管线全线212公里，全线设置站场4座（包括天业首站、八区分输清管站、百口泉分输站、玛湖末站），阀室6座；制冷站3座，含制冷机3套、冷却塔3套；二氧化碳2000m3球罐5座、1000m3球罐2座；二氧化碳储罐35；公用工程配套系统及电气、自控和相关辅助设备等。本项目不仅有助于直接减排，更是打通了“碳减排—资源化—产业化”的价值链，为园区实现绿色转型提供了系统性解决方案。</w:t>
      </w:r>
    </w:p>
    <w:p w14:paraId="15B60FCD">
      <w:pPr>
        <w:ind w:firstLine="640"/>
        <w:rPr>
          <w:rFonts w:hint="default"/>
          <w:lang w:val="en-US" w:eastAsia="zh-CN"/>
        </w:rPr>
      </w:pPr>
      <w:r>
        <w:rPr>
          <w:rFonts w:hint="default"/>
          <w:b/>
          <w:bCs/>
          <w:lang w:val="en-US" w:eastAsia="zh-CN"/>
        </w:rPr>
        <w:t>国华（石河子）新能源有限公司绿氢减碳创新应用示范项目</w:t>
      </w:r>
      <w:r>
        <w:rPr>
          <w:rFonts w:hint="eastAsia"/>
          <w:lang w:val="en-US" w:eastAsia="zh-CN"/>
        </w:rPr>
        <w:t>。项目计划总投资1.96亿元，用地42亩，建设一座年产727.2吨的电解水制氢工厂（1000Nm3/h）、一座年产2181.6吨的制氢工厂（3000Nm³/h）、四座加氢站（2000kg/天）。</w:t>
      </w:r>
    </w:p>
    <w:p w14:paraId="3A3BECDF">
      <w:pPr>
        <w:pStyle w:val="3"/>
        <w:ind w:firstLine="640"/>
        <w:rPr>
          <w:rFonts w:hint="default" w:eastAsia="楷体_GB2312"/>
          <w:lang w:val="en-US" w:eastAsia="zh-CN"/>
        </w:rPr>
      </w:pPr>
      <w:bookmarkStart w:id="139" w:name="_Toc17756"/>
      <w:bookmarkStart w:id="140" w:name="_Toc3352"/>
      <w:bookmarkStart w:id="141" w:name="_Toc11871"/>
      <w:bookmarkStart w:id="142" w:name="_Toc26026"/>
      <w:bookmarkStart w:id="143" w:name="_Toc12727"/>
      <w:r>
        <w:rPr>
          <w:rFonts w:hint="eastAsia"/>
        </w:rPr>
        <w:t>（</w:t>
      </w:r>
      <w:r>
        <w:rPr>
          <w:rFonts w:hint="eastAsia"/>
          <w:lang w:val="en-US" w:eastAsia="zh-CN"/>
        </w:rPr>
        <w:t>五</w:t>
      </w:r>
      <w:r>
        <w:rPr>
          <w:rFonts w:hint="eastAsia"/>
        </w:rPr>
        <w:t>）</w:t>
      </w:r>
      <w:r>
        <w:rPr>
          <w:rFonts w:hint="eastAsia"/>
          <w:lang w:val="en-US" w:eastAsia="zh-CN"/>
        </w:rPr>
        <w:t>绿色建筑交通项目</w:t>
      </w:r>
      <w:bookmarkEnd w:id="139"/>
      <w:bookmarkEnd w:id="140"/>
    </w:p>
    <w:p w14:paraId="23479550">
      <w:pPr>
        <w:rPr>
          <w:rFonts w:hint="eastAsia"/>
          <w:lang w:val="en-US" w:eastAsia="zh-CN"/>
        </w:rPr>
      </w:pPr>
      <w:r>
        <w:rPr>
          <w:rFonts w:hint="eastAsia"/>
        </w:rPr>
        <w:t>绿色建筑交通</w:t>
      </w:r>
      <w:r>
        <w:rPr>
          <w:rFonts w:hint="eastAsia"/>
          <w:lang w:val="en-US" w:eastAsia="zh-CN"/>
        </w:rPr>
        <w:t>项目6项，总投资</w:t>
      </w:r>
      <w:r>
        <w:rPr>
          <w:rFonts w:hint="eastAsia"/>
        </w:rPr>
        <w:t>31.7</w:t>
      </w:r>
      <w:r>
        <w:rPr>
          <w:rFonts w:hint="eastAsia"/>
          <w:lang w:val="en-US" w:eastAsia="zh-CN"/>
        </w:rPr>
        <w:t>亿元，包括</w:t>
      </w:r>
      <w:r>
        <w:rPr>
          <w:rFonts w:hint="eastAsia"/>
        </w:rPr>
        <w:t>上海融和元储能源有限公司车网互动独立共享储能项目</w:t>
      </w:r>
      <w:r>
        <w:rPr>
          <w:rFonts w:hint="eastAsia"/>
          <w:lang w:eastAsia="zh-CN"/>
        </w:rPr>
        <w:t>、</w:t>
      </w:r>
      <w:r>
        <w:rPr>
          <w:rFonts w:hint="eastAsia"/>
        </w:rPr>
        <w:t>辽宁曙光汽车集团氢能重卡组装项目</w:t>
      </w:r>
      <w:r>
        <w:rPr>
          <w:rFonts w:hint="eastAsia"/>
          <w:lang w:eastAsia="zh-CN"/>
        </w:rPr>
        <w:t>、</w:t>
      </w:r>
      <w:r>
        <w:rPr>
          <w:rFonts w:hint="eastAsia"/>
        </w:rPr>
        <w:t>吉利年产5000辆甲醇动力改造汽车项目</w:t>
      </w:r>
      <w:r>
        <w:rPr>
          <w:rFonts w:hint="eastAsia"/>
          <w:lang w:val="en-US" w:eastAsia="zh-CN"/>
        </w:rPr>
        <w:t>等重点项目。</w:t>
      </w:r>
    </w:p>
    <w:p w14:paraId="5E388E29">
      <w:pPr>
        <w:rPr>
          <w:rFonts w:hint="eastAsia"/>
          <w:lang w:eastAsia="zh-CN"/>
        </w:rPr>
      </w:pPr>
      <w:r>
        <w:rPr>
          <w:rFonts w:hint="eastAsia"/>
          <w:b/>
          <w:bCs/>
        </w:rPr>
        <w:t>上海融和元储能源有限公司车网互动独立共享储能项目</w:t>
      </w:r>
      <w:r>
        <w:rPr>
          <w:rFonts w:hint="eastAsia"/>
          <w:b/>
          <w:bCs/>
          <w:lang w:eastAsia="zh-CN"/>
        </w:rPr>
        <w:t>。</w:t>
      </w:r>
      <w:r>
        <w:rPr>
          <w:rFonts w:hint="eastAsia"/>
          <w:lang w:val="en-US" w:eastAsia="zh-CN"/>
        </w:rPr>
        <w:t>本项目</w:t>
      </w:r>
      <w:r>
        <w:rPr>
          <w:rFonts w:hint="eastAsia"/>
        </w:rPr>
        <w:t>规划用地面积200亩，租赁厂房10000平方米，建设500MW/2000MWh网侧、源侧车网互动型独立共享储能项目；195MW/390MWh中新建新能源共享储能项目、2GWh储能系统集成厂项目；车网互动动储电池共享平台、车储共用动储电池银行、绿电交通充换电基础设施及虚拟电厂示范项目。</w:t>
      </w:r>
      <w:r>
        <w:rPr>
          <w:rFonts w:hint="eastAsia"/>
          <w:lang w:val="en-US" w:eastAsia="zh-CN"/>
        </w:rPr>
        <w:t>本项目</w:t>
      </w:r>
      <w:r>
        <w:rPr>
          <w:rFonts w:hint="eastAsia"/>
        </w:rPr>
        <w:t>通过“储能+新能源+智慧能源管理”的创新模式，构建了覆盖储能设备制造、车网协同互动、绿电充换电服务的全链条体系，</w:t>
      </w:r>
      <w:r>
        <w:rPr>
          <w:rFonts w:hint="eastAsia"/>
          <w:lang w:val="en-US" w:eastAsia="zh-CN"/>
        </w:rPr>
        <w:t>有助于推动园区</w:t>
      </w:r>
      <w:r>
        <w:rPr>
          <w:rFonts w:hint="eastAsia"/>
        </w:rPr>
        <w:t>交通领域低碳转型</w:t>
      </w:r>
      <w:r>
        <w:rPr>
          <w:rFonts w:hint="eastAsia"/>
          <w:lang w:eastAsia="zh-CN"/>
        </w:rPr>
        <w:t>。</w:t>
      </w:r>
    </w:p>
    <w:p w14:paraId="60BB3C06">
      <w:pPr>
        <w:rPr>
          <w:rFonts w:hint="eastAsia"/>
          <w:lang w:eastAsia="zh-CN"/>
        </w:rPr>
      </w:pPr>
      <w:r>
        <w:rPr>
          <w:rFonts w:hint="eastAsia"/>
          <w:b/>
          <w:bCs/>
        </w:rPr>
        <w:t>辽宁曙光汽车集团氢能重卡组装项目</w:t>
      </w:r>
      <w:r>
        <w:rPr>
          <w:rFonts w:hint="eastAsia"/>
          <w:b/>
          <w:bCs/>
          <w:lang w:eastAsia="zh-CN"/>
        </w:rPr>
        <w:t>。</w:t>
      </w:r>
      <w:r>
        <w:rPr>
          <w:rFonts w:hint="eastAsia"/>
          <w:lang w:val="en-US" w:eastAsia="zh-CN"/>
        </w:rPr>
        <w:t>本项目</w:t>
      </w:r>
      <w:r>
        <w:rPr>
          <w:rFonts w:hint="eastAsia"/>
        </w:rPr>
        <w:t>建设年产2000辆氢能重卡组装生产线，配套生产氢能电堆、氢能电力系统、储氢罐、加氢站等，并计划在石成立生产公司和物流运输公司，生产车辆企业自持进行运输服务。</w:t>
      </w:r>
      <w:r>
        <w:rPr>
          <w:rFonts w:hint="eastAsia"/>
          <w:lang w:val="en-US" w:eastAsia="zh-CN"/>
        </w:rPr>
        <w:t>本项目</w:t>
      </w:r>
      <w:r>
        <w:rPr>
          <w:rFonts w:hint="eastAsia"/>
        </w:rPr>
        <w:t>通过“氢能重卡整车制造—核心部件生产—基础设施配套—物流服务运营”的全产业链布局</w:t>
      </w:r>
      <w:r>
        <w:rPr>
          <w:rFonts w:hint="eastAsia"/>
          <w:lang w:eastAsia="zh-CN"/>
        </w:rPr>
        <w:t>，</w:t>
      </w:r>
      <w:r>
        <w:rPr>
          <w:rFonts w:hint="eastAsia"/>
        </w:rPr>
        <w:t>不仅直接推动</w:t>
      </w:r>
      <w:r>
        <w:rPr>
          <w:rFonts w:hint="eastAsia"/>
          <w:lang w:val="en-US" w:eastAsia="zh-CN"/>
        </w:rPr>
        <w:t>园区</w:t>
      </w:r>
      <w:r>
        <w:rPr>
          <w:rFonts w:hint="eastAsia"/>
        </w:rPr>
        <w:t>物流运输体系脱碳，更通过产业链整合与商业模式创新，破解了氢能产业规模化发展的关键瓶颈</w:t>
      </w:r>
      <w:r>
        <w:rPr>
          <w:rFonts w:hint="eastAsia"/>
          <w:lang w:eastAsia="zh-CN"/>
        </w:rPr>
        <w:t>。</w:t>
      </w:r>
    </w:p>
    <w:p w14:paraId="1002E43B">
      <w:pPr>
        <w:rPr>
          <w:rFonts w:hint="eastAsia" w:eastAsia="仿宋_GB2312"/>
          <w:lang w:val="en-US" w:eastAsia="zh-CN"/>
        </w:rPr>
      </w:pPr>
      <w:r>
        <w:rPr>
          <w:rFonts w:hint="eastAsia"/>
          <w:b/>
          <w:bCs/>
        </w:rPr>
        <w:t>吉利年产5000辆甲醇动力改造汽车项目</w:t>
      </w:r>
      <w:r>
        <w:rPr>
          <w:rFonts w:hint="eastAsia"/>
          <w:b/>
          <w:bCs/>
          <w:lang w:eastAsia="zh-CN"/>
        </w:rPr>
        <w:t>。</w:t>
      </w:r>
      <w:r>
        <w:rPr>
          <w:rFonts w:hint="eastAsia"/>
          <w:lang w:val="en-US" w:eastAsia="zh-CN"/>
        </w:rPr>
        <w:t>项目</w:t>
      </w:r>
      <w:r>
        <w:rPr>
          <w:rFonts w:hint="eastAsia"/>
        </w:rPr>
        <w:t>租用园区现有厂房建设年产5000辆甲醇动力改造汽车项目，项目建成后预计实现总产值17.5亿元。</w:t>
      </w:r>
      <w:r>
        <w:rPr>
          <w:rFonts w:hint="eastAsia"/>
          <w:lang w:val="en-US" w:eastAsia="zh-CN"/>
        </w:rPr>
        <w:t>本项目</w:t>
      </w:r>
      <w:r>
        <w:rPr>
          <w:rFonts w:hint="eastAsia"/>
        </w:rPr>
        <w:t>通过“传统燃油车清洁化改造+可再生能源燃料替代”的创新路径</w:t>
      </w:r>
      <w:r>
        <w:rPr>
          <w:rFonts w:hint="eastAsia"/>
          <w:lang w:eastAsia="zh-CN"/>
        </w:rPr>
        <w:t>，</w:t>
      </w:r>
      <w:r>
        <w:rPr>
          <w:rFonts w:hint="eastAsia"/>
        </w:rPr>
        <w:t>为传统燃油车绿色转型提供了低成本、高可行性的解决方案</w:t>
      </w:r>
      <w:r>
        <w:rPr>
          <w:rFonts w:hint="eastAsia"/>
          <w:lang w:eastAsia="zh-CN"/>
        </w:rPr>
        <w:t>，</w:t>
      </w:r>
      <w:r>
        <w:rPr>
          <w:rFonts w:hint="eastAsia"/>
        </w:rPr>
        <w:t>为</w:t>
      </w:r>
      <w:r>
        <w:rPr>
          <w:rFonts w:hint="eastAsia"/>
          <w:lang w:val="en-US" w:eastAsia="zh-CN"/>
        </w:rPr>
        <w:t>园区</w:t>
      </w:r>
      <w:r>
        <w:rPr>
          <w:rFonts w:hint="eastAsia"/>
        </w:rPr>
        <w:t>绿色交通高质量发展注入新动能</w:t>
      </w:r>
      <w:r>
        <w:rPr>
          <w:rFonts w:hint="eastAsia"/>
          <w:lang w:eastAsia="zh-CN"/>
        </w:rPr>
        <w:t>。</w:t>
      </w:r>
    </w:p>
    <w:bookmarkEnd w:id="141"/>
    <w:bookmarkEnd w:id="142"/>
    <w:bookmarkEnd w:id="143"/>
    <w:p w14:paraId="31FAD922">
      <w:pPr>
        <w:pStyle w:val="3"/>
        <w:ind w:firstLine="640"/>
        <w:rPr>
          <w:rFonts w:hint="default" w:eastAsia="楷体_GB2312"/>
          <w:lang w:val="en-US" w:eastAsia="zh-CN"/>
        </w:rPr>
      </w:pPr>
      <w:bookmarkStart w:id="144" w:name="_Toc8003"/>
      <w:bookmarkStart w:id="145" w:name="_Toc29208"/>
      <w:bookmarkStart w:id="146" w:name="_Toc26331"/>
      <w:bookmarkStart w:id="147" w:name="_Toc13455"/>
      <w:bookmarkStart w:id="148" w:name="_Toc5635"/>
      <w:r>
        <w:rPr>
          <w:rFonts w:hint="eastAsia"/>
        </w:rPr>
        <w:t>（</w:t>
      </w:r>
      <w:r>
        <w:rPr>
          <w:rFonts w:hint="eastAsia"/>
          <w:lang w:val="en-US" w:eastAsia="zh-CN"/>
        </w:rPr>
        <w:t>六</w:t>
      </w:r>
      <w:r>
        <w:rPr>
          <w:rFonts w:hint="eastAsia"/>
        </w:rPr>
        <w:t>）</w:t>
      </w:r>
      <w:r>
        <w:rPr>
          <w:rFonts w:hint="eastAsia"/>
          <w:lang w:val="en-US" w:eastAsia="zh-CN"/>
        </w:rPr>
        <w:t>循环经济发展项目</w:t>
      </w:r>
      <w:bookmarkEnd w:id="144"/>
      <w:bookmarkEnd w:id="145"/>
    </w:p>
    <w:p w14:paraId="26099523">
      <w:pPr>
        <w:ind w:firstLine="640"/>
        <w:rPr>
          <w:rFonts w:hint="eastAsia"/>
          <w:lang w:val="en-US" w:eastAsia="zh-CN"/>
        </w:rPr>
      </w:pPr>
      <w:r>
        <w:rPr>
          <w:rFonts w:hint="default"/>
          <w:lang w:val="en-US" w:eastAsia="zh-CN"/>
        </w:rPr>
        <w:t>循环经济发展</w:t>
      </w:r>
      <w:r>
        <w:rPr>
          <w:rFonts w:hint="eastAsia"/>
          <w:lang w:val="en-US" w:eastAsia="zh-CN"/>
        </w:rPr>
        <w:t>项目13项，总投资</w:t>
      </w:r>
      <w:r>
        <w:rPr>
          <w:rFonts w:hint="eastAsia"/>
        </w:rPr>
        <w:t>40.27</w:t>
      </w:r>
      <w:r>
        <w:rPr>
          <w:rFonts w:hint="eastAsia"/>
          <w:lang w:val="en-US" w:eastAsia="zh-CN"/>
        </w:rPr>
        <w:t>亿元，包括</w:t>
      </w:r>
      <w:r>
        <w:rPr>
          <w:rFonts w:hint="eastAsia"/>
        </w:rPr>
        <w:t>新疆越隆达再生资源科技有限公司“建筑固废+光伏管桩”项目</w:t>
      </w:r>
      <w:r>
        <w:rPr>
          <w:rFonts w:hint="eastAsia"/>
          <w:lang w:eastAsia="zh-CN"/>
        </w:rPr>
        <w:t>、</w:t>
      </w:r>
      <w:r>
        <w:rPr>
          <w:rFonts w:hint="eastAsia"/>
        </w:rPr>
        <w:t>新疆大全新能源股份有限公司节能减排综合利用项目</w:t>
      </w:r>
      <w:r>
        <w:rPr>
          <w:rFonts w:hint="eastAsia"/>
          <w:lang w:eastAsia="zh-CN"/>
        </w:rPr>
        <w:t>、</w:t>
      </w:r>
      <w:r>
        <w:rPr>
          <w:rFonts w:hint="eastAsia"/>
        </w:rPr>
        <w:t>天辰化工有限公司高盐废水资源化综合利用</w:t>
      </w:r>
      <w:r>
        <w:rPr>
          <w:rFonts w:hint="eastAsia"/>
          <w:lang w:val="en-US" w:eastAsia="zh-CN"/>
        </w:rPr>
        <w:t>等重点项目。</w:t>
      </w:r>
    </w:p>
    <w:p w14:paraId="00632452">
      <w:pPr>
        <w:ind w:firstLine="640"/>
        <w:rPr>
          <w:rFonts w:hint="eastAsia"/>
          <w:lang w:val="en-US" w:eastAsia="zh-CN"/>
        </w:rPr>
      </w:pPr>
      <w:r>
        <w:rPr>
          <w:rFonts w:hint="eastAsia"/>
          <w:b/>
          <w:bCs/>
        </w:rPr>
        <w:t>新疆越隆达再生资源科技有限公司“建筑固废+光伏管桩”项目</w:t>
      </w:r>
      <w:r>
        <w:rPr>
          <w:rFonts w:hint="eastAsia"/>
          <w:lang w:val="en-US" w:eastAsia="zh-CN"/>
        </w:rPr>
        <w:t>。项目总计划投资3.8亿元，规划用地191亩。其中，年处理150万吨建筑垃圾、工业固废等再生骨料+30万吨市政污泥+综合利用延伸产业计划投资2.3亿元；年产700万米太阳能光伏管桩项目计划投资1.5亿元</w:t>
      </w:r>
      <w:r>
        <w:rPr>
          <w:rFonts w:hint="eastAsia"/>
        </w:rPr>
        <w:t>。</w:t>
      </w:r>
      <w:r>
        <w:rPr>
          <w:rFonts w:hint="eastAsia"/>
          <w:lang w:val="en-US" w:eastAsia="zh-CN"/>
        </w:rPr>
        <w:t>本项目</w:t>
      </w:r>
      <w:r>
        <w:rPr>
          <w:rFonts w:hint="eastAsia"/>
        </w:rPr>
        <w:t>通过整合大宗固废综合利用、城市废旧物资循环利用、低碳技术应用及新能源装备制造等模块，构建了“资源—产品—再生资源”的全链条循环经济体系，</w:t>
      </w:r>
      <w:r>
        <w:rPr>
          <w:rFonts w:hint="eastAsia"/>
          <w:lang w:val="en-US" w:eastAsia="zh-CN"/>
        </w:rPr>
        <w:t>为园区</w:t>
      </w:r>
      <w:r>
        <w:rPr>
          <w:rFonts w:hint="eastAsia"/>
        </w:rPr>
        <w:t>构建“资源节约型、环境友好型”经济体系提供重要支撑</w:t>
      </w:r>
      <w:r>
        <w:rPr>
          <w:rFonts w:hint="eastAsia"/>
          <w:lang w:val="en-US" w:eastAsia="zh-CN"/>
        </w:rPr>
        <w:t>。</w:t>
      </w:r>
    </w:p>
    <w:p w14:paraId="5D7F136C">
      <w:pPr>
        <w:ind w:firstLine="640"/>
        <w:rPr>
          <w:rFonts w:hint="eastAsia"/>
          <w:lang w:val="en-US" w:eastAsia="zh-CN"/>
        </w:rPr>
      </w:pPr>
      <w:r>
        <w:rPr>
          <w:rFonts w:hint="default"/>
          <w:b/>
          <w:bCs/>
          <w:lang w:val="en-US" w:eastAsia="zh-CN"/>
        </w:rPr>
        <w:t>新疆大全新能源股份有限公司节能减排综合利用项目</w:t>
      </w:r>
      <w:r>
        <w:rPr>
          <w:rFonts w:hint="eastAsia"/>
          <w:lang w:val="en-US" w:eastAsia="zh-CN"/>
        </w:rPr>
        <w:t>。针对循环水中水利用装置，购置中水调节系统、过滤系统、反渗透系统、MVR蒸发结晶系统、加药系统、中水输送系统，新增设备134台；针对高盐废水回收装置，改造高盐废水MVR蒸发结晶盐回收利用装置，配套配电室、水暖电管线等附属设施；针对蒸汽梯级回收利用装置，购置2台蒸汽压缩机及配套装置。项目可实现中水处理量100m</w:t>
      </w:r>
      <w:r>
        <w:rPr>
          <w:rFonts w:hint="eastAsia"/>
          <w:vertAlign w:val="superscript"/>
          <w:lang w:val="en-US" w:eastAsia="zh-CN"/>
        </w:rPr>
        <w:t>3</w:t>
      </w:r>
      <w:r>
        <w:rPr>
          <w:rFonts w:hint="eastAsia"/>
          <w:lang w:val="en-US" w:eastAsia="zh-CN"/>
        </w:rPr>
        <w:t>/h，可减少循环水中水的排放，减少废水处置费用1153万元；蒸汽梯级利用后减少中压蒸汽用量35.2万吨/年，降低企业运营成本，助推企业高质量发展。</w:t>
      </w:r>
    </w:p>
    <w:p w14:paraId="2CE92032">
      <w:pPr>
        <w:ind w:firstLine="640"/>
        <w:rPr>
          <w:rFonts w:hint="eastAsia"/>
          <w:lang w:val="en-US" w:eastAsia="zh-CN"/>
        </w:rPr>
      </w:pPr>
      <w:r>
        <w:rPr>
          <w:rFonts w:hint="default"/>
          <w:b/>
          <w:bCs/>
          <w:lang w:val="en-US" w:eastAsia="zh-CN"/>
        </w:rPr>
        <w:t>天辰化工有限公司高盐废水资源化综合利用项目</w:t>
      </w:r>
      <w:r>
        <w:rPr>
          <w:rFonts w:hint="eastAsia"/>
          <w:lang w:val="en-US" w:eastAsia="zh-CN"/>
        </w:rPr>
        <w:t>。建设920t/h高盐废水净化分盐装置、废盐综合利用的离子膜烧碱生产装置、双三氯甲基碳酸酯生产装置及配套的公用工程及辅助设施。废水经过回用水处理、浓盐水处理、蒸发浓缩处理等多级处置，得到氯化钠近饱和溶液，再通过烧碱装置制造烧碱产品，实现废水资源化利用。项目的实施，将从源头减少污染物排放，提高副产品资源化利用效率，在改善当地环境质量的同时促进循环经济发展，极具经济、社会与环境效益。</w:t>
      </w:r>
    </w:p>
    <w:p w14:paraId="1746B9FF">
      <w:pPr>
        <w:pStyle w:val="3"/>
        <w:ind w:firstLine="640"/>
        <w:rPr>
          <w:rFonts w:hint="eastAsia"/>
          <w:lang w:val="en-US" w:eastAsia="zh-CN"/>
        </w:rPr>
      </w:pPr>
      <w:bookmarkStart w:id="149" w:name="_Toc24537"/>
      <w:bookmarkStart w:id="150" w:name="_Toc7675"/>
      <w:r>
        <w:rPr>
          <w:rFonts w:hint="eastAsia"/>
        </w:rPr>
        <w:t>（</w:t>
      </w:r>
      <w:r>
        <w:rPr>
          <w:rFonts w:hint="eastAsia"/>
          <w:lang w:val="en-US" w:eastAsia="zh-CN"/>
        </w:rPr>
        <w:t>七</w:t>
      </w:r>
      <w:r>
        <w:rPr>
          <w:rFonts w:hint="eastAsia"/>
        </w:rPr>
        <w:t>）</w:t>
      </w:r>
      <w:r>
        <w:rPr>
          <w:rFonts w:hint="eastAsia"/>
          <w:lang w:val="en-US" w:eastAsia="zh-CN"/>
        </w:rPr>
        <w:t>平台科技创新项目</w:t>
      </w:r>
      <w:bookmarkEnd w:id="149"/>
      <w:bookmarkEnd w:id="150"/>
    </w:p>
    <w:p w14:paraId="2EE30D2D">
      <w:pPr>
        <w:rPr>
          <w:rFonts w:hint="eastAsia"/>
          <w:lang w:val="en-US" w:eastAsia="zh-CN"/>
        </w:rPr>
      </w:pPr>
      <w:r>
        <w:rPr>
          <w:rFonts w:hint="eastAsia"/>
        </w:rPr>
        <w:t>平台科技创新</w:t>
      </w:r>
      <w:r>
        <w:rPr>
          <w:rFonts w:hint="eastAsia"/>
          <w:lang w:val="en-US" w:eastAsia="zh-CN"/>
        </w:rPr>
        <w:t>项目4项，总投资</w:t>
      </w:r>
      <w:r>
        <w:rPr>
          <w:rFonts w:hint="eastAsia"/>
        </w:rPr>
        <w:t>13.62</w:t>
      </w:r>
      <w:r>
        <w:rPr>
          <w:rFonts w:hint="eastAsia"/>
          <w:lang w:val="en-US" w:eastAsia="zh-CN"/>
        </w:rPr>
        <w:t>亿元，包括</w:t>
      </w:r>
      <w:r>
        <w:rPr>
          <w:rFonts w:hint="eastAsia"/>
        </w:rPr>
        <w:t>铝行业全产业链数字化运营赋能平台项目</w:t>
      </w:r>
      <w:r>
        <w:rPr>
          <w:rFonts w:hint="eastAsia"/>
          <w:lang w:eastAsia="zh-CN"/>
        </w:rPr>
        <w:t>、</w:t>
      </w:r>
      <w:r>
        <w:rPr>
          <w:rFonts w:hint="eastAsia"/>
        </w:rPr>
        <w:t>多晶硅生产设备全生命周期数智化管理系统的研发与应用</w:t>
      </w:r>
      <w:r>
        <w:rPr>
          <w:rFonts w:hint="eastAsia"/>
          <w:lang w:eastAsia="zh-CN"/>
        </w:rPr>
        <w:t>、</w:t>
      </w:r>
      <w:r>
        <w:rPr>
          <w:rFonts w:hint="eastAsia"/>
        </w:rPr>
        <w:t>新疆华科智算科技有限公司数据中心项目（神速）</w:t>
      </w:r>
      <w:r>
        <w:rPr>
          <w:rFonts w:hint="eastAsia"/>
          <w:lang w:val="en-US" w:eastAsia="zh-CN"/>
        </w:rPr>
        <w:t>等重点项目。</w:t>
      </w:r>
    </w:p>
    <w:p w14:paraId="7240727B">
      <w:pPr>
        <w:rPr>
          <w:rFonts w:hint="eastAsia"/>
          <w:lang w:eastAsia="zh-CN"/>
        </w:rPr>
      </w:pPr>
      <w:r>
        <w:rPr>
          <w:rFonts w:hint="eastAsia"/>
          <w:b/>
          <w:bCs/>
        </w:rPr>
        <w:t>铝行业全产业链数字化运营赋能平台项目</w:t>
      </w:r>
      <w:r>
        <w:rPr>
          <w:rFonts w:hint="eastAsia"/>
          <w:b/>
          <w:bCs/>
          <w:lang w:eastAsia="zh-CN"/>
        </w:rPr>
        <w:t>。</w:t>
      </w:r>
      <w:r>
        <w:rPr>
          <w:rFonts w:hint="eastAsia"/>
          <w:lang w:val="en-US" w:eastAsia="zh-CN"/>
        </w:rPr>
        <w:t>项目</w:t>
      </w:r>
      <w:r>
        <w:rPr>
          <w:rFonts w:hint="eastAsia"/>
        </w:rPr>
        <w:t>构建产业级数字中枢平台</w:t>
      </w:r>
      <w:r>
        <w:rPr>
          <w:rFonts w:hint="eastAsia"/>
          <w:lang w:eastAsia="zh-CN"/>
        </w:rPr>
        <w:t>，</w:t>
      </w:r>
      <w:r>
        <w:rPr>
          <w:rFonts w:hint="eastAsia"/>
          <w:lang w:val="en-US" w:eastAsia="zh-CN"/>
        </w:rPr>
        <w:t>包括：（1）</w:t>
      </w:r>
      <w:r>
        <w:rPr>
          <w:rFonts w:hint="eastAsia"/>
        </w:rPr>
        <w:t>部署100+标准化API接口，采集产业链物流、信息流及能源数据；</w:t>
      </w:r>
      <w:r>
        <w:rPr>
          <w:rFonts w:hint="eastAsia"/>
          <w:lang w:eastAsia="zh-CN"/>
        </w:rPr>
        <w:t>（</w:t>
      </w:r>
      <w:r>
        <w:rPr>
          <w:rFonts w:hint="eastAsia"/>
          <w:lang w:val="en-US" w:eastAsia="zh-CN"/>
        </w:rPr>
        <w:t>2</w:t>
      </w:r>
      <w:r>
        <w:rPr>
          <w:rFonts w:hint="eastAsia"/>
          <w:lang w:eastAsia="zh-CN"/>
        </w:rPr>
        <w:t>）</w:t>
      </w:r>
      <w:r>
        <w:rPr>
          <w:rFonts w:hint="eastAsia"/>
        </w:rPr>
        <w:t>开发智能预测系统，实现需求弹性测算、库存智能调配、物流调度与碳排精准管理；</w:t>
      </w:r>
      <w:r>
        <w:rPr>
          <w:rFonts w:hint="eastAsia"/>
          <w:lang w:eastAsia="zh-CN"/>
        </w:rPr>
        <w:t>（</w:t>
      </w:r>
      <w:r>
        <w:rPr>
          <w:rFonts w:hint="eastAsia"/>
          <w:lang w:val="en-US" w:eastAsia="zh-CN"/>
        </w:rPr>
        <w:t>3</w:t>
      </w:r>
      <w:r>
        <w:rPr>
          <w:rFonts w:hint="eastAsia"/>
          <w:lang w:eastAsia="zh-CN"/>
        </w:rPr>
        <w:t>）</w:t>
      </w:r>
      <w:r>
        <w:rPr>
          <w:rFonts w:hint="eastAsia"/>
        </w:rPr>
        <w:t>“四地五中心”混合云架构，实现全栈适配容灾多活，引入区块链存证强化数据安全；</w:t>
      </w:r>
      <w:r>
        <w:rPr>
          <w:rFonts w:hint="eastAsia"/>
          <w:lang w:eastAsia="zh-CN"/>
        </w:rPr>
        <w:t>（</w:t>
      </w:r>
      <w:r>
        <w:rPr>
          <w:rFonts w:hint="eastAsia"/>
          <w:lang w:val="en-US" w:eastAsia="zh-CN"/>
        </w:rPr>
        <w:t>4</w:t>
      </w:r>
      <w:r>
        <w:rPr>
          <w:rFonts w:hint="eastAsia"/>
          <w:lang w:eastAsia="zh-CN"/>
        </w:rPr>
        <w:t>）</w:t>
      </w:r>
      <w:r>
        <w:rPr>
          <w:rFonts w:hint="eastAsia"/>
        </w:rPr>
        <w:t>建立200+企业数字生态联盟，赋能中小企业，助力行业数字化升级，满足信创适配。该项目以数字化手段重构铝行业价值链，不仅直接降低生产能耗与碳排放强度，更通过资源协同、中小企业赋能、再生铝闭环等创新模式，推动铝产业从“高耗能、高排放”向“绿色化、智能化、循环化”转型</w:t>
      </w:r>
      <w:r>
        <w:rPr>
          <w:rFonts w:hint="eastAsia"/>
          <w:lang w:eastAsia="zh-CN"/>
        </w:rPr>
        <w:t>。</w:t>
      </w:r>
    </w:p>
    <w:p w14:paraId="7A5E24FB">
      <w:pPr>
        <w:rPr>
          <w:rFonts w:hint="eastAsia"/>
          <w:lang w:eastAsia="zh-CN"/>
        </w:rPr>
      </w:pPr>
      <w:r>
        <w:rPr>
          <w:rFonts w:hint="eastAsia"/>
          <w:b/>
          <w:bCs/>
        </w:rPr>
        <w:t>多晶硅生产设备全生命周期数智化管理系统的研发与应用</w:t>
      </w:r>
      <w:r>
        <w:rPr>
          <w:rFonts w:hint="eastAsia"/>
          <w:b/>
          <w:bCs/>
          <w:lang w:eastAsia="zh-CN"/>
        </w:rPr>
        <w:t>。</w:t>
      </w:r>
      <w:r>
        <w:rPr>
          <w:rFonts w:hint="eastAsia"/>
          <w:lang w:val="en-US" w:eastAsia="zh-CN"/>
        </w:rPr>
        <w:t>项目课题一是</w:t>
      </w:r>
      <w:r>
        <w:rPr>
          <w:rFonts w:hint="eastAsia"/>
        </w:rPr>
        <w:t>多晶硅生产设备多源异构数据采集与智能融合技术研究</w:t>
      </w:r>
      <w:r>
        <w:rPr>
          <w:rFonts w:hint="eastAsia"/>
          <w:lang w:eastAsia="zh-CN"/>
        </w:rPr>
        <w:t>，</w:t>
      </w:r>
      <w:r>
        <w:rPr>
          <w:rFonts w:hint="eastAsia"/>
          <w:lang w:val="en-US" w:eastAsia="zh-CN"/>
        </w:rPr>
        <w:t>包括（1）</w:t>
      </w:r>
      <w:r>
        <w:rPr>
          <w:rFonts w:hint="eastAsia"/>
        </w:rPr>
        <w:t>多源异构设备数据采集与清洗技术开发；</w:t>
      </w:r>
      <w:r>
        <w:rPr>
          <w:rFonts w:hint="eastAsia"/>
          <w:lang w:eastAsia="zh-CN"/>
        </w:rPr>
        <w:t>（</w:t>
      </w:r>
      <w:r>
        <w:rPr>
          <w:rFonts w:hint="eastAsia"/>
          <w:lang w:val="en-US" w:eastAsia="zh-CN"/>
        </w:rPr>
        <w:t>2</w:t>
      </w:r>
      <w:r>
        <w:rPr>
          <w:rFonts w:hint="eastAsia"/>
          <w:lang w:eastAsia="zh-CN"/>
        </w:rPr>
        <w:t>）</w:t>
      </w:r>
      <w:r>
        <w:rPr>
          <w:rFonts w:hint="eastAsia"/>
        </w:rPr>
        <w:t>多源异构设备数据融合与质量评估体系构建。</w:t>
      </w:r>
      <w:r>
        <w:rPr>
          <w:rFonts w:hint="eastAsia"/>
          <w:lang w:val="en-US" w:eastAsia="zh-CN"/>
        </w:rPr>
        <w:t>项目课题二是</w:t>
      </w:r>
      <w:r>
        <w:rPr>
          <w:rFonts w:hint="eastAsia"/>
        </w:rPr>
        <w:t>多晶硅生产设备状态监测与故障预测维护关键技术研究</w:t>
      </w:r>
      <w:r>
        <w:rPr>
          <w:rFonts w:hint="eastAsia"/>
          <w:lang w:eastAsia="zh-CN"/>
        </w:rPr>
        <w:t>，</w:t>
      </w:r>
      <w:r>
        <w:rPr>
          <w:rFonts w:hint="eastAsia"/>
          <w:lang w:val="en-US" w:eastAsia="zh-CN"/>
        </w:rPr>
        <w:t>包括（1）</w:t>
      </w:r>
      <w:r>
        <w:rPr>
          <w:rFonts w:hint="eastAsia"/>
        </w:rPr>
        <w:t>多晶硅生产设备状态监测与故障预测模型开发；</w:t>
      </w:r>
      <w:r>
        <w:rPr>
          <w:rFonts w:hint="eastAsia"/>
          <w:lang w:eastAsia="zh-CN"/>
        </w:rPr>
        <w:t>（</w:t>
      </w:r>
      <w:r>
        <w:rPr>
          <w:rFonts w:hint="eastAsia"/>
          <w:lang w:val="en-US" w:eastAsia="zh-CN"/>
        </w:rPr>
        <w:t>2</w:t>
      </w:r>
      <w:r>
        <w:rPr>
          <w:rFonts w:hint="eastAsia"/>
          <w:lang w:eastAsia="zh-CN"/>
        </w:rPr>
        <w:t>）</w:t>
      </w:r>
      <w:r>
        <w:rPr>
          <w:rFonts w:hint="eastAsia"/>
        </w:rPr>
        <w:t>多晶硅生产设备预测性维护策略与运维优化研究。</w:t>
      </w:r>
      <w:r>
        <w:rPr>
          <w:rFonts w:hint="eastAsia"/>
          <w:lang w:val="en-US" w:eastAsia="zh-CN"/>
        </w:rPr>
        <w:t>项目课题三是</w:t>
      </w:r>
      <w:r>
        <w:rPr>
          <w:rFonts w:hint="eastAsia"/>
        </w:rPr>
        <w:t>多晶硅设备全生命周期数智化管理系统开发与应用示范</w:t>
      </w:r>
      <w:r>
        <w:rPr>
          <w:rFonts w:hint="eastAsia"/>
          <w:lang w:eastAsia="zh-CN"/>
        </w:rPr>
        <w:t>，</w:t>
      </w:r>
      <w:r>
        <w:rPr>
          <w:rFonts w:hint="eastAsia"/>
          <w:lang w:val="en-US" w:eastAsia="zh-CN"/>
        </w:rPr>
        <w:t>包括（1）</w:t>
      </w:r>
      <w:r>
        <w:rPr>
          <w:rFonts w:hint="eastAsia"/>
        </w:rPr>
        <w:t>设备全生命周期管理需求分析与系统架构设计</w:t>
      </w:r>
      <w:r>
        <w:rPr>
          <w:rFonts w:hint="eastAsia"/>
          <w:lang w:eastAsia="zh-CN"/>
        </w:rPr>
        <w:t>；（</w:t>
      </w:r>
      <w:r>
        <w:rPr>
          <w:rFonts w:hint="eastAsia"/>
          <w:lang w:val="en-US" w:eastAsia="zh-CN"/>
        </w:rPr>
        <w:t>2</w:t>
      </w:r>
      <w:r>
        <w:rPr>
          <w:rFonts w:hint="eastAsia"/>
          <w:lang w:eastAsia="zh-CN"/>
        </w:rPr>
        <w:t>）</w:t>
      </w:r>
      <w:r>
        <w:rPr>
          <w:rFonts w:hint="eastAsia"/>
        </w:rPr>
        <w:t>设备全生命周期管理系统平台搭建、测试及应用</w:t>
      </w:r>
      <w:r>
        <w:rPr>
          <w:rFonts w:hint="eastAsia"/>
          <w:lang w:eastAsia="zh-CN"/>
        </w:rPr>
        <w:t>。</w:t>
      </w:r>
      <w:r>
        <w:rPr>
          <w:rFonts w:hint="eastAsia"/>
          <w:lang w:val="en-US" w:eastAsia="zh-CN"/>
        </w:rPr>
        <w:t>本项目</w:t>
      </w:r>
      <w:r>
        <w:rPr>
          <w:rFonts w:hint="eastAsia"/>
        </w:rPr>
        <w:t>以“数据驱动、智能优化、绿色低碳”为核心，不仅直接提升企业生产效率与盈利能力，更通过技术标准化、生态协同和绿色转型，推动整个多晶硅产业从“规模扩张”向“质量引领”升级</w:t>
      </w:r>
      <w:r>
        <w:rPr>
          <w:rFonts w:hint="eastAsia"/>
          <w:lang w:eastAsia="zh-CN"/>
        </w:rPr>
        <w:t>。</w:t>
      </w:r>
    </w:p>
    <w:p w14:paraId="1908C16C">
      <w:pPr>
        <w:rPr>
          <w:rFonts w:hint="eastAsia"/>
          <w:lang w:eastAsia="zh-CN"/>
        </w:rPr>
      </w:pPr>
      <w:r>
        <w:rPr>
          <w:rFonts w:hint="eastAsia"/>
          <w:b/>
          <w:bCs/>
          <w:lang w:eastAsia="zh-CN"/>
        </w:rPr>
        <w:t>新疆华科智算科技有限公司数据中心项目（神速）。</w:t>
      </w:r>
      <w:r>
        <w:rPr>
          <w:rFonts w:hint="eastAsia"/>
          <w:lang w:eastAsia="zh-CN"/>
        </w:rPr>
        <w:t>项目建设智算中心，新建1920个机柜。项目拟占地35亩，建设1920个机柜，配套制冷系统、供电系统、照明、暖通、空调等辅助生产设施。项目建成后，为园区人工智能发展、网络通信技术推广和终端应用提供基础算力支撑。</w:t>
      </w:r>
    </w:p>
    <w:p w14:paraId="32FAAD08">
      <w:pPr>
        <w:rPr>
          <w:rFonts w:hint="eastAsia"/>
        </w:rPr>
      </w:pPr>
      <w:bookmarkStart w:id="151" w:name="_Toc11266"/>
      <w:r>
        <w:rPr>
          <w:rFonts w:hint="eastAsia"/>
        </w:rPr>
        <w:br w:type="page"/>
      </w:r>
    </w:p>
    <w:p w14:paraId="2A2D4402">
      <w:pPr>
        <w:pStyle w:val="2"/>
        <w:ind w:firstLine="640"/>
      </w:pPr>
      <w:bookmarkStart w:id="152" w:name="_Toc27369"/>
      <w:r>
        <w:rPr>
          <w:rFonts w:hint="eastAsia"/>
        </w:rPr>
        <w:t>六、政策创新</w:t>
      </w:r>
      <w:bookmarkEnd w:id="146"/>
      <w:bookmarkEnd w:id="147"/>
      <w:bookmarkEnd w:id="148"/>
      <w:bookmarkEnd w:id="151"/>
      <w:bookmarkEnd w:id="152"/>
    </w:p>
    <w:p w14:paraId="230E86AE">
      <w:pPr>
        <w:pStyle w:val="3"/>
        <w:ind w:firstLine="640"/>
      </w:pPr>
      <w:bookmarkStart w:id="153" w:name="_Toc31795"/>
      <w:bookmarkStart w:id="154" w:name="_Toc28313"/>
      <w:bookmarkStart w:id="155" w:name="_Toc32294"/>
      <w:bookmarkStart w:id="156" w:name="_Toc20343"/>
      <w:bookmarkStart w:id="157" w:name="_Toc26701"/>
      <w:r>
        <w:rPr>
          <w:rFonts w:hint="eastAsia"/>
        </w:rPr>
        <w:t>（</w:t>
      </w:r>
      <w:r>
        <w:rPr>
          <w:rFonts w:hint="eastAsia"/>
          <w:lang w:val="en-US" w:eastAsia="zh-CN"/>
        </w:rPr>
        <w:t>一</w:t>
      </w:r>
      <w:r>
        <w:rPr>
          <w:rFonts w:hint="eastAsia"/>
        </w:rPr>
        <w:t>）完善绿色招商政策</w:t>
      </w:r>
      <w:bookmarkEnd w:id="153"/>
      <w:bookmarkEnd w:id="154"/>
      <w:bookmarkEnd w:id="155"/>
      <w:bookmarkEnd w:id="156"/>
      <w:bookmarkEnd w:id="157"/>
    </w:p>
    <w:p w14:paraId="3596495F">
      <w:pPr>
        <w:ind w:firstLine="640"/>
      </w:pPr>
      <w:r>
        <w:rPr>
          <w:rFonts w:hint="eastAsia"/>
        </w:rPr>
        <w:t>制定强有</w:t>
      </w:r>
      <w:r>
        <w:rPr>
          <w:rFonts w:hint="eastAsia"/>
          <w:lang w:eastAsia="zh-CN"/>
        </w:rPr>
        <w:t>力的</w:t>
      </w:r>
      <w:r>
        <w:rPr>
          <w:rFonts w:hint="eastAsia"/>
        </w:rPr>
        <w:t>高质量招商引资模式，大力推进“引凤行动”，举办</w:t>
      </w:r>
      <w:r>
        <w:rPr>
          <w:rFonts w:hint="eastAsia"/>
          <w:lang w:val="en-US" w:eastAsia="zh-CN"/>
        </w:rPr>
        <w:t>经开区主导</w:t>
      </w:r>
      <w:r>
        <w:rPr>
          <w:rFonts w:hint="eastAsia"/>
        </w:rPr>
        <w:t>产业全球合作伙伴大会，全力扩大招商引资“朋友圈”</w:t>
      </w:r>
      <w:r>
        <w:rPr>
          <w:rFonts w:hint="eastAsia"/>
          <w:lang w:eastAsia="zh-CN"/>
        </w:rPr>
        <w:t>。</w:t>
      </w:r>
      <w:r>
        <w:rPr>
          <w:rFonts w:hint="eastAsia"/>
          <w:lang w:val="en-US" w:eastAsia="zh-CN"/>
        </w:rPr>
        <w:t>推动</w:t>
      </w:r>
      <w:r>
        <w:rPr>
          <w:rFonts w:hint="eastAsia"/>
        </w:rPr>
        <w:t>实施绿色招商，严格招引项目绿色审查，重点评估项目的低碳技术含量、生产工艺的先进水平、能耗水平，注重项目对园区绿色发展的带动</w:t>
      </w:r>
      <w:r>
        <w:rPr>
          <w:rFonts w:hint="eastAsia"/>
          <w:lang w:eastAsia="zh-CN"/>
        </w:rPr>
        <w:t>。</w:t>
      </w:r>
      <w:r>
        <w:rPr>
          <w:rFonts w:hint="eastAsia"/>
        </w:rPr>
        <w:t>聚焦新材料、新能源、农业资源转化和现代服务等产业链，坚持国际化视野、发挥比较优势，瞄准全国头部企业，通过抓重点、抓龙头、抓优势，引入新技术、新管理、新模式，培育企业向专业化、精细化、特色化、新颖化方向发展，大力推动企业提质增效。</w:t>
      </w:r>
      <w:r>
        <w:rPr>
          <w:rFonts w:hint="eastAsia"/>
          <w:b/>
          <w:bCs/>
          <w:lang w:eastAsia="zh-CN"/>
        </w:rPr>
        <w:t>（</w:t>
      </w:r>
      <w:r>
        <w:rPr>
          <w:rFonts w:hint="eastAsia"/>
          <w:b/>
          <w:bCs/>
          <w:lang w:val="en-US" w:eastAsia="zh-CN"/>
        </w:rPr>
        <w:t>责任单位：</w:t>
      </w:r>
      <w:r>
        <w:rPr>
          <w:rFonts w:hint="eastAsia"/>
          <w:b/>
          <w:bCs/>
          <w:lang w:eastAsia="zh-CN"/>
        </w:rPr>
        <w:t>经济发展局、投资促进局、财政局</w:t>
      </w:r>
      <w:r>
        <w:rPr>
          <w:rFonts w:hint="eastAsia"/>
          <w:b/>
          <w:bCs/>
        </w:rPr>
        <w:t>、高新区专项工作组</w:t>
      </w:r>
      <w:r>
        <w:rPr>
          <w:rFonts w:hint="eastAsia"/>
          <w:b/>
          <w:bCs/>
          <w:lang w:eastAsia="zh-CN"/>
        </w:rPr>
        <w:t>）</w:t>
      </w:r>
    </w:p>
    <w:p w14:paraId="0C7F4876">
      <w:pPr>
        <w:pStyle w:val="3"/>
        <w:ind w:firstLine="640"/>
      </w:pPr>
      <w:bookmarkStart w:id="158" w:name="_Toc20933"/>
      <w:bookmarkStart w:id="159" w:name="_Toc9746"/>
      <w:bookmarkStart w:id="160" w:name="_Toc30711"/>
      <w:bookmarkStart w:id="161" w:name="_Toc28156"/>
      <w:bookmarkStart w:id="162" w:name="_Toc30275"/>
      <w:r>
        <w:rPr>
          <w:rFonts w:hint="eastAsia"/>
        </w:rPr>
        <w:t>（</w:t>
      </w:r>
      <w:r>
        <w:rPr>
          <w:rFonts w:hint="eastAsia"/>
          <w:lang w:val="en-US" w:eastAsia="zh-CN"/>
        </w:rPr>
        <w:t>二</w:t>
      </w:r>
      <w:r>
        <w:rPr>
          <w:rFonts w:hint="eastAsia"/>
        </w:rPr>
        <w:t>）优化绿色低碳</w:t>
      </w:r>
      <w:r>
        <w:rPr>
          <w:rFonts w:hint="eastAsia"/>
          <w:lang w:val="en-US" w:eastAsia="zh-CN"/>
        </w:rPr>
        <w:t>产业</w:t>
      </w:r>
      <w:r>
        <w:rPr>
          <w:rFonts w:hint="eastAsia"/>
        </w:rPr>
        <w:t>发展政策</w:t>
      </w:r>
      <w:bookmarkEnd w:id="158"/>
      <w:bookmarkEnd w:id="159"/>
      <w:bookmarkEnd w:id="160"/>
      <w:bookmarkEnd w:id="161"/>
      <w:bookmarkEnd w:id="162"/>
    </w:p>
    <w:p w14:paraId="3DD8FC0B">
      <w:pPr>
        <w:ind w:firstLine="640"/>
      </w:pPr>
      <w:r>
        <w:rPr>
          <w:rFonts w:hint="eastAsia"/>
        </w:rPr>
        <w:t>在碳达峰碳中和背景下，持续优化绿色低碳</w:t>
      </w:r>
      <w:r>
        <w:rPr>
          <w:rFonts w:hint="eastAsia"/>
          <w:lang w:val="en-US" w:eastAsia="zh-CN"/>
        </w:rPr>
        <w:t>产业</w:t>
      </w:r>
      <w:r>
        <w:rPr>
          <w:rFonts w:hint="eastAsia"/>
        </w:rPr>
        <w:t>发展政策</w:t>
      </w:r>
      <w:r>
        <w:rPr>
          <w:rFonts w:hint="eastAsia"/>
          <w:lang w:eastAsia="zh-CN"/>
        </w:rPr>
        <w:t>。</w:t>
      </w:r>
      <w:r>
        <w:rPr>
          <w:rFonts w:hint="eastAsia"/>
          <w:lang w:val="en-US" w:eastAsia="zh-CN"/>
        </w:rPr>
        <w:t>聚焦新能源等绿色低碳产业，制定园区绿色低碳产业发展模式，细化工作重点和政策措施，部署重大工程、重大计划、重大行动，推动绿色低碳产业高质量发展。推动绿色低碳产业上下游企业建立紧密协调发展机制，合作建设具有增强产业链黏合度、经济效益明显的科技或工业项目，持续完善绿色低碳产业发展生态。深入推进绿色制造体系建设，</w:t>
      </w:r>
      <w:r>
        <w:rPr>
          <w:rFonts w:hint="eastAsia"/>
        </w:rPr>
        <w:t>引导企业开展绿色转型，加快国家级绿色工厂、绿色供应链、绿色设计产品等培育。</w:t>
      </w:r>
      <w:r>
        <w:rPr>
          <w:rFonts w:hint="eastAsia"/>
          <w:b/>
          <w:bCs/>
          <w:lang w:eastAsia="zh-CN"/>
        </w:rPr>
        <w:t>（</w:t>
      </w:r>
      <w:r>
        <w:rPr>
          <w:rFonts w:hint="eastAsia"/>
          <w:b/>
          <w:bCs/>
          <w:lang w:val="en-US" w:eastAsia="zh-CN"/>
        </w:rPr>
        <w:t>责任单位：</w:t>
      </w:r>
      <w:r>
        <w:rPr>
          <w:rFonts w:hint="eastAsia"/>
          <w:b/>
          <w:bCs/>
          <w:lang w:eastAsia="zh-CN"/>
        </w:rPr>
        <w:t>经济发展局、投资促进局、财政局</w:t>
      </w:r>
      <w:r>
        <w:rPr>
          <w:rFonts w:hint="eastAsia"/>
          <w:b/>
          <w:bCs/>
        </w:rPr>
        <w:t>、高新区专项工作组</w:t>
      </w:r>
      <w:r>
        <w:rPr>
          <w:rFonts w:hint="eastAsia"/>
          <w:b/>
          <w:bCs/>
          <w:lang w:eastAsia="zh-CN"/>
        </w:rPr>
        <w:t>）</w:t>
      </w:r>
    </w:p>
    <w:p w14:paraId="0F8CAFF5">
      <w:pPr>
        <w:pStyle w:val="3"/>
        <w:ind w:firstLine="640"/>
      </w:pPr>
      <w:bookmarkStart w:id="163" w:name="_Toc9258"/>
      <w:bookmarkStart w:id="164" w:name="_Toc28590"/>
      <w:bookmarkStart w:id="165" w:name="_Toc8022"/>
      <w:bookmarkStart w:id="166" w:name="_Toc12845"/>
      <w:bookmarkStart w:id="167" w:name="_Toc4417"/>
      <w:r>
        <w:rPr>
          <w:rFonts w:hint="eastAsia"/>
        </w:rPr>
        <w:t>（</w:t>
      </w:r>
      <w:r>
        <w:rPr>
          <w:rFonts w:hint="eastAsia"/>
          <w:lang w:val="en-US" w:eastAsia="zh-CN"/>
        </w:rPr>
        <w:t>三</w:t>
      </w:r>
      <w:r>
        <w:rPr>
          <w:rFonts w:hint="eastAsia"/>
        </w:rPr>
        <w:t>）强化金融支持政策引导</w:t>
      </w:r>
      <w:bookmarkEnd w:id="163"/>
      <w:bookmarkEnd w:id="164"/>
      <w:bookmarkEnd w:id="165"/>
      <w:bookmarkEnd w:id="166"/>
      <w:bookmarkEnd w:id="167"/>
    </w:p>
    <w:p w14:paraId="4882D316">
      <w:pPr>
        <w:ind w:firstLine="640"/>
        <w:rPr>
          <w:rFonts w:hint="eastAsia"/>
          <w:lang w:eastAsia="zh-CN"/>
        </w:rPr>
      </w:pPr>
      <w:r>
        <w:rPr>
          <w:rFonts w:hint="eastAsia"/>
          <w:lang w:val="en-US" w:eastAsia="zh-CN"/>
        </w:rPr>
        <w:t>构建</w:t>
      </w:r>
      <w:r>
        <w:rPr>
          <w:rFonts w:hint="eastAsia"/>
        </w:rPr>
        <w:t>功能完善的绿色金融机构体系</w:t>
      </w:r>
      <w:r>
        <w:rPr>
          <w:rFonts w:hint="eastAsia"/>
          <w:lang w:eastAsia="zh-CN"/>
        </w:rPr>
        <w:t>。鼓励有条件的金融机构在</w:t>
      </w:r>
      <w:r>
        <w:rPr>
          <w:rFonts w:hint="eastAsia"/>
          <w:lang w:val="en-US" w:eastAsia="zh-CN"/>
        </w:rPr>
        <w:t>经开区</w:t>
      </w:r>
      <w:r>
        <w:rPr>
          <w:rFonts w:hint="eastAsia"/>
          <w:lang w:eastAsia="zh-CN"/>
        </w:rPr>
        <w:t>内设立绿色金融事业部、绿色金融支行、绿色金融团队等组织机构。吸引各类基金资管机构在</w:t>
      </w:r>
      <w:r>
        <w:rPr>
          <w:rFonts w:hint="eastAsia"/>
          <w:lang w:val="en-US" w:eastAsia="zh-CN"/>
        </w:rPr>
        <w:t>经开区</w:t>
      </w:r>
      <w:r>
        <w:rPr>
          <w:rFonts w:hint="eastAsia"/>
          <w:lang w:eastAsia="zh-CN"/>
        </w:rPr>
        <w:t>内发起设立绿色投资基金。支持信用评级、第三方认证、环境风险评估等专业机构落户，为绿色金融提供中介服务。</w:t>
      </w:r>
      <w:r>
        <w:rPr>
          <w:rFonts w:hint="eastAsia"/>
          <w:b/>
          <w:bCs/>
          <w:lang w:eastAsia="zh-CN"/>
        </w:rPr>
        <w:t>（</w:t>
      </w:r>
      <w:r>
        <w:rPr>
          <w:rFonts w:hint="eastAsia"/>
          <w:b/>
          <w:bCs/>
          <w:lang w:val="en-US" w:eastAsia="zh-CN"/>
        </w:rPr>
        <w:t>责任单位：</w:t>
      </w:r>
      <w:r>
        <w:rPr>
          <w:rFonts w:hint="eastAsia"/>
          <w:b/>
          <w:bCs/>
          <w:lang w:eastAsia="zh-CN"/>
        </w:rPr>
        <w:t>经济发展局、投资促进局）</w:t>
      </w:r>
    </w:p>
    <w:p w14:paraId="48D99FEC">
      <w:pPr>
        <w:ind w:firstLine="640"/>
        <w:rPr>
          <w:rFonts w:hint="default"/>
          <w:lang w:val="en-US" w:eastAsia="zh-CN"/>
        </w:rPr>
      </w:pPr>
      <w:r>
        <w:rPr>
          <w:rFonts w:hint="eastAsia"/>
          <w:lang w:val="en-US" w:eastAsia="zh-CN"/>
        </w:rPr>
        <w:t>构建丰富多元的绿色金融产品体系。</w:t>
      </w:r>
      <w:r>
        <w:rPr>
          <w:rFonts w:hint="eastAsia"/>
          <w:lang w:val="en"/>
        </w:rPr>
        <w:t>鼓励金融机构加大对绿色企业和项目的支持力度，降低绿色信贷成本。积极运用政策性金融、开发性金融专项融资产品，支持</w:t>
      </w:r>
      <w:r>
        <w:rPr>
          <w:rFonts w:hint="eastAsia"/>
          <w:lang w:val="en-US" w:eastAsia="zh-CN"/>
        </w:rPr>
        <w:t>能源基础设施</w:t>
      </w:r>
      <w:r>
        <w:rPr>
          <w:rFonts w:hint="eastAsia"/>
          <w:lang w:val="en"/>
        </w:rPr>
        <w:t>、</w:t>
      </w:r>
      <w:r>
        <w:rPr>
          <w:rFonts w:hint="eastAsia"/>
          <w:lang w:val="en-US" w:eastAsia="zh-CN"/>
        </w:rPr>
        <w:t>节能降碳改造、绿色低碳先进技术示范应用、环境基础设施、循环经济发展、生态保护修复等</w:t>
      </w:r>
      <w:r>
        <w:rPr>
          <w:rFonts w:hint="eastAsia"/>
          <w:lang w:val="en"/>
        </w:rPr>
        <w:t>项目建设。充分利用大数据、云计算等手段，简化业务办理流程，创新推广绿色信用贷款产品。</w:t>
      </w:r>
      <w:r>
        <w:rPr>
          <w:rFonts w:hint="eastAsia"/>
          <w:b/>
          <w:bCs/>
          <w:lang w:eastAsia="zh-CN"/>
        </w:rPr>
        <w:t>（</w:t>
      </w:r>
      <w:r>
        <w:rPr>
          <w:rFonts w:hint="eastAsia"/>
          <w:b/>
          <w:bCs/>
          <w:lang w:val="en-US" w:eastAsia="zh-CN"/>
        </w:rPr>
        <w:t>责任单位：</w:t>
      </w:r>
      <w:r>
        <w:rPr>
          <w:rFonts w:hint="eastAsia"/>
          <w:b/>
          <w:bCs/>
          <w:lang w:eastAsia="zh-CN"/>
        </w:rPr>
        <w:t>经济发展局、投资促进局）</w:t>
      </w:r>
    </w:p>
    <w:p w14:paraId="185666A3">
      <w:pPr>
        <w:pStyle w:val="3"/>
        <w:ind w:firstLine="640"/>
        <w:rPr>
          <w:rFonts w:hint="eastAsia" w:eastAsia="楷体_GB2312"/>
          <w:highlight w:val="none"/>
          <w:lang w:val="en-US" w:eastAsia="zh-CN"/>
        </w:rPr>
      </w:pPr>
      <w:bookmarkStart w:id="168" w:name="_Toc4493"/>
      <w:bookmarkStart w:id="169" w:name="_Toc28754"/>
      <w:bookmarkStart w:id="170" w:name="_Toc24200"/>
      <w:bookmarkStart w:id="171" w:name="_Toc1817"/>
      <w:bookmarkStart w:id="172" w:name="_Toc23523"/>
      <w:r>
        <w:rPr>
          <w:rFonts w:hint="eastAsia"/>
          <w:highlight w:val="none"/>
          <w:lang w:val="en"/>
        </w:rPr>
        <w:t>（</w:t>
      </w:r>
      <w:r>
        <w:rPr>
          <w:rFonts w:hint="eastAsia"/>
          <w:highlight w:val="none"/>
          <w:lang w:val="en-US" w:eastAsia="zh-CN"/>
        </w:rPr>
        <w:t>四</w:t>
      </w:r>
      <w:r>
        <w:rPr>
          <w:rFonts w:hint="eastAsia"/>
          <w:highlight w:val="none"/>
          <w:lang w:val="en"/>
        </w:rPr>
        <w:t>）</w:t>
      </w:r>
      <w:r>
        <w:rPr>
          <w:rFonts w:hint="eastAsia"/>
          <w:highlight w:val="none"/>
          <w:lang w:val="en-US" w:eastAsia="zh-CN"/>
        </w:rPr>
        <w:t>探索开展</w:t>
      </w:r>
      <w:r>
        <w:rPr>
          <w:rFonts w:hint="eastAsia"/>
          <w:highlight w:val="none"/>
        </w:rPr>
        <w:t>碳排放双控</w:t>
      </w:r>
      <w:bookmarkEnd w:id="168"/>
      <w:bookmarkEnd w:id="169"/>
      <w:r>
        <w:rPr>
          <w:rFonts w:hint="eastAsia"/>
          <w:highlight w:val="none"/>
          <w:lang w:val="en-US" w:eastAsia="zh-CN"/>
        </w:rPr>
        <w:t>制度创新</w:t>
      </w:r>
      <w:bookmarkEnd w:id="170"/>
      <w:bookmarkEnd w:id="171"/>
      <w:bookmarkEnd w:id="172"/>
    </w:p>
    <w:p w14:paraId="5E3F15F6">
      <w:pPr>
        <w:ind w:firstLine="640"/>
      </w:pPr>
      <w:r>
        <w:rPr>
          <w:rFonts w:hint="eastAsia"/>
        </w:rPr>
        <w:t>探索研究能耗“双控”向碳排放“双控”转变的衔接机制，研究编制园区级碳排放预算管理方案，根据</w:t>
      </w:r>
      <w:r>
        <w:rPr>
          <w:rFonts w:hint="eastAsia"/>
          <w:lang w:val="en-US" w:eastAsia="zh-CN"/>
        </w:rPr>
        <w:t>经开区</w:t>
      </w:r>
      <w:r>
        <w:rPr>
          <w:rFonts w:hint="eastAsia"/>
        </w:rPr>
        <w:t>碳达峰目标，研究设定年度碳预算总量</w:t>
      </w:r>
      <w:r>
        <w:rPr>
          <w:rFonts w:hint="eastAsia"/>
          <w:lang w:eastAsia="zh-CN"/>
        </w:rPr>
        <w:t>。</w:t>
      </w:r>
      <w:r>
        <w:rPr>
          <w:rFonts w:hint="eastAsia"/>
        </w:rPr>
        <w:t>探索建立碳排放总量分解落实机制，确定各重点领域、行业、企业碳排放总量和强度控制目标及任务</w:t>
      </w:r>
      <w:r>
        <w:rPr>
          <w:rFonts w:hint="eastAsia"/>
          <w:lang w:eastAsia="zh-CN"/>
        </w:rPr>
        <w:t>。建立健全碳排放标准计量体系，支持建设一批工业数字化碳管理公共服务平台。</w:t>
      </w:r>
      <w:r>
        <w:rPr>
          <w:rFonts w:hint="eastAsia"/>
        </w:rPr>
        <w:t>以企业碳账户、公共机构碳账户试点为基础，探索碳排放统计核算数据在目标分解、评估测算、信息披露等方面的预算管理应用场景。</w:t>
      </w:r>
      <w:r>
        <w:rPr>
          <w:rFonts w:hint="eastAsia"/>
          <w:lang w:eastAsia="zh-CN"/>
        </w:rPr>
        <w:t>强化重点企业计量要求，推动能源计量与碳计量有效衔接，开展碳排放计量审查试点。</w:t>
      </w:r>
      <w:r>
        <w:rPr>
          <w:rFonts w:hint="eastAsia"/>
          <w:b/>
          <w:bCs/>
          <w:lang w:eastAsia="zh-CN"/>
        </w:rPr>
        <w:t>（</w:t>
      </w:r>
      <w:r>
        <w:rPr>
          <w:rFonts w:hint="eastAsia"/>
          <w:b/>
          <w:bCs/>
          <w:lang w:val="en-US" w:eastAsia="zh-CN"/>
        </w:rPr>
        <w:t>责任单位：</w:t>
      </w:r>
      <w:r>
        <w:rPr>
          <w:rFonts w:hint="eastAsia"/>
          <w:b/>
          <w:bCs/>
          <w:lang w:eastAsia="zh-CN"/>
        </w:rPr>
        <w:t>经济发展局）</w:t>
      </w:r>
    </w:p>
    <w:p w14:paraId="58316449">
      <w:pPr>
        <w:pStyle w:val="3"/>
        <w:ind w:firstLine="640"/>
        <w:rPr>
          <w:rFonts w:hint="default" w:eastAsia="楷体_GB2312"/>
          <w:lang w:val="en-US" w:eastAsia="zh-CN"/>
        </w:rPr>
      </w:pPr>
      <w:bookmarkStart w:id="173" w:name="_Toc8219"/>
      <w:bookmarkStart w:id="174" w:name="_Toc31826"/>
      <w:bookmarkStart w:id="175" w:name="_Toc26035"/>
      <w:bookmarkStart w:id="176" w:name="_Toc26736"/>
      <w:bookmarkStart w:id="177" w:name="_Toc22166"/>
      <w:r>
        <w:rPr>
          <w:rFonts w:hint="eastAsia"/>
        </w:rPr>
        <w:t>（</w:t>
      </w:r>
      <w:r>
        <w:rPr>
          <w:rFonts w:hint="eastAsia"/>
          <w:lang w:val="en-US" w:eastAsia="zh-CN"/>
        </w:rPr>
        <w:t>五</w:t>
      </w:r>
      <w:r>
        <w:rPr>
          <w:rFonts w:hint="eastAsia"/>
        </w:rPr>
        <w:t>）</w:t>
      </w:r>
      <w:r>
        <w:rPr>
          <w:rFonts w:hint="eastAsia"/>
          <w:lang w:val="en-US" w:eastAsia="zh-CN"/>
        </w:rPr>
        <w:t>推动</w:t>
      </w:r>
      <w:r>
        <w:rPr>
          <w:rFonts w:hint="eastAsia"/>
        </w:rPr>
        <w:t>企业</w:t>
      </w:r>
      <w:r>
        <w:rPr>
          <w:rFonts w:hint="eastAsia"/>
          <w:lang w:val="en-US" w:eastAsia="zh-CN"/>
        </w:rPr>
        <w:t>绿色低碳转型</w:t>
      </w:r>
      <w:bookmarkEnd w:id="173"/>
      <w:bookmarkEnd w:id="174"/>
      <w:bookmarkEnd w:id="175"/>
      <w:bookmarkEnd w:id="176"/>
      <w:bookmarkEnd w:id="177"/>
    </w:p>
    <w:p w14:paraId="2733D383">
      <w:pPr>
        <w:ind w:firstLine="640"/>
      </w:pPr>
      <w:r>
        <w:rPr>
          <w:rFonts w:hint="eastAsia"/>
          <w:lang w:val="en-US" w:eastAsia="zh-CN"/>
        </w:rPr>
        <w:t>推动</w:t>
      </w:r>
      <w:r>
        <w:rPr>
          <w:rFonts w:hint="eastAsia"/>
        </w:rPr>
        <w:t>制定“一企一策”节能降碳改造方案，支撑重点用能单位碳达峰。聚焦</w:t>
      </w:r>
      <w:r>
        <w:rPr>
          <w:rFonts w:hint="eastAsia"/>
          <w:lang w:val="en-US" w:eastAsia="zh-CN"/>
        </w:rPr>
        <w:t>高能耗高碳排放、</w:t>
      </w:r>
      <w:r>
        <w:rPr>
          <w:rFonts w:hint="eastAsia"/>
        </w:rPr>
        <w:t>改造条件相对成熟、示范带动作用明显的重点行业企业</w:t>
      </w:r>
      <w:r>
        <w:rPr>
          <w:rFonts w:hint="eastAsia"/>
          <w:lang w:eastAsia="zh-CN"/>
        </w:rPr>
        <w:t>，</w:t>
      </w:r>
      <w:r>
        <w:rPr>
          <w:rFonts w:hint="eastAsia"/>
        </w:rPr>
        <w:t>分步实施、有序推进重点行业节能降碳工作。</w:t>
      </w:r>
      <w:r>
        <w:rPr>
          <w:rFonts w:hint="eastAsia"/>
          <w:lang w:val="en-US" w:eastAsia="zh-CN"/>
        </w:rPr>
        <w:t>总结节能降碳工作经验</w:t>
      </w:r>
      <w:r>
        <w:rPr>
          <w:rFonts w:hint="eastAsia"/>
        </w:rPr>
        <w:t>，稳扎稳打，压茬推进</w:t>
      </w:r>
      <w:r>
        <w:rPr>
          <w:rFonts w:hint="eastAsia"/>
          <w:lang w:eastAsia="zh-CN"/>
        </w:rPr>
        <w:t>。</w:t>
      </w:r>
      <w:r>
        <w:rPr>
          <w:rFonts w:hint="eastAsia"/>
          <w:lang w:val="en-US" w:eastAsia="zh-CN"/>
        </w:rPr>
        <w:t>明确</w:t>
      </w:r>
      <w:r>
        <w:rPr>
          <w:rFonts w:hint="eastAsia"/>
        </w:rPr>
        <w:t>“一企一策”节能降碳改造方案改造期限、技术路线、预期目标。全面摸排</w:t>
      </w:r>
      <w:r>
        <w:rPr>
          <w:rFonts w:hint="eastAsia"/>
          <w:lang w:val="en-US" w:eastAsia="zh-CN"/>
        </w:rPr>
        <w:t>经开区</w:t>
      </w:r>
      <w:r>
        <w:rPr>
          <w:rFonts w:hint="eastAsia"/>
        </w:rPr>
        <w:t>高耗能行业生产企业能效水平现状，建立企业能效清单。组织开展高耗能行业、重点用能企业以及存量“两高”项目专项节能监察，加强对重点行业企业能效水平执行情况的日常监测和现场检查，查处违法用能，鼓励依法用能、科学高效用能。开展“节能服务进企业”活动，组织行业协会、节能服务机构和高效节能设备提供商为用能企业开展全面诊断或专项诊断，提出节能技术推广和节能改造建议</w:t>
      </w:r>
      <w:r>
        <w:rPr>
          <w:rFonts w:hint="eastAsia"/>
          <w:lang w:eastAsia="zh-CN"/>
        </w:rPr>
        <w:t>。</w:t>
      </w:r>
      <w:r>
        <w:rPr>
          <w:rFonts w:hint="eastAsia"/>
          <w:b/>
          <w:bCs/>
          <w:lang w:eastAsia="zh-CN"/>
        </w:rPr>
        <w:t>（</w:t>
      </w:r>
      <w:r>
        <w:rPr>
          <w:rFonts w:hint="eastAsia"/>
          <w:b/>
          <w:bCs/>
          <w:lang w:val="en-US" w:eastAsia="zh-CN"/>
        </w:rPr>
        <w:t>责任单位：</w:t>
      </w:r>
      <w:r>
        <w:rPr>
          <w:rFonts w:hint="eastAsia"/>
          <w:b/>
          <w:bCs/>
          <w:lang w:eastAsia="zh-CN"/>
        </w:rPr>
        <w:t>经济发展局、投资促进局、</w:t>
      </w:r>
      <w:r>
        <w:rPr>
          <w:rFonts w:hint="eastAsia"/>
          <w:b/>
          <w:bCs/>
        </w:rPr>
        <w:t>高新区专项工作组</w:t>
      </w:r>
      <w:r>
        <w:rPr>
          <w:rFonts w:hint="eastAsia"/>
          <w:b/>
          <w:bCs/>
          <w:lang w:eastAsia="zh-CN"/>
        </w:rPr>
        <w:t>）</w:t>
      </w:r>
    </w:p>
    <w:p w14:paraId="16EF5706">
      <w:pPr>
        <w:rPr>
          <w:rFonts w:hint="eastAsia"/>
        </w:rPr>
      </w:pPr>
      <w:bookmarkStart w:id="178" w:name="_Toc30537"/>
      <w:bookmarkStart w:id="179" w:name="_Toc4054"/>
      <w:bookmarkStart w:id="180" w:name="_Toc30313"/>
      <w:bookmarkStart w:id="181" w:name="_Toc3225"/>
      <w:r>
        <w:rPr>
          <w:rFonts w:hint="eastAsia"/>
        </w:rPr>
        <w:br w:type="page"/>
      </w:r>
    </w:p>
    <w:p w14:paraId="7EE6C6B5">
      <w:pPr>
        <w:pStyle w:val="2"/>
        <w:ind w:firstLine="640"/>
      </w:pPr>
      <w:bookmarkStart w:id="182" w:name="_Toc19739"/>
      <w:r>
        <w:rPr>
          <w:rFonts w:hint="eastAsia"/>
        </w:rPr>
        <w:t>七、全民行动</w:t>
      </w:r>
      <w:bookmarkEnd w:id="178"/>
      <w:bookmarkEnd w:id="179"/>
      <w:bookmarkEnd w:id="180"/>
      <w:bookmarkEnd w:id="181"/>
      <w:bookmarkEnd w:id="182"/>
    </w:p>
    <w:p w14:paraId="04753FF9">
      <w:pPr>
        <w:pStyle w:val="3"/>
        <w:ind w:firstLine="640"/>
        <w:rPr>
          <w:rFonts w:hint="default" w:eastAsia="楷体_GB2312"/>
          <w:lang w:val="en-US" w:eastAsia="zh-CN"/>
        </w:rPr>
      </w:pPr>
      <w:bookmarkStart w:id="183" w:name="_Toc6261"/>
      <w:bookmarkStart w:id="184" w:name="_Toc15188"/>
      <w:bookmarkStart w:id="185" w:name="_Toc23694"/>
      <w:bookmarkStart w:id="186" w:name="_Toc16600"/>
      <w:bookmarkStart w:id="187" w:name="_Toc674"/>
      <w:r>
        <w:rPr>
          <w:rFonts w:hint="eastAsia"/>
        </w:rPr>
        <w:t>（</w:t>
      </w:r>
      <w:r>
        <w:rPr>
          <w:rFonts w:hint="eastAsia"/>
          <w:lang w:val="en-US" w:eastAsia="zh-CN"/>
        </w:rPr>
        <w:t>一</w:t>
      </w:r>
      <w:r>
        <w:rPr>
          <w:rFonts w:hint="eastAsia"/>
        </w:rPr>
        <w:t>）</w:t>
      </w:r>
      <w:r>
        <w:rPr>
          <w:rFonts w:hint="eastAsia"/>
          <w:lang w:val="en-US" w:eastAsia="zh-CN"/>
        </w:rPr>
        <w:t>加强生态文明宣传教育</w:t>
      </w:r>
      <w:bookmarkEnd w:id="183"/>
      <w:bookmarkEnd w:id="184"/>
      <w:bookmarkEnd w:id="185"/>
      <w:bookmarkEnd w:id="186"/>
      <w:bookmarkEnd w:id="187"/>
    </w:p>
    <w:p w14:paraId="39774137">
      <w:pPr>
        <w:ind w:firstLine="640"/>
        <w:rPr>
          <w:rFonts w:hint="eastAsia" w:eastAsia="仿宋_GB2312"/>
          <w:lang w:eastAsia="zh-CN"/>
        </w:rPr>
      </w:pPr>
      <w:r>
        <w:rPr>
          <w:rFonts w:hint="eastAsia"/>
          <w:lang w:val="en-US" w:eastAsia="zh-CN"/>
        </w:rPr>
        <w:t>加大宣传和推广力度，切实发挥碳达峰试点的示范引领作用，以</w:t>
      </w:r>
      <w:r>
        <w:rPr>
          <w:rFonts w:hint="eastAsia"/>
        </w:rPr>
        <w:t>全国节能宣传周、节能低碳日、世界环境日等</w:t>
      </w:r>
      <w:r>
        <w:t>主题</w:t>
      </w:r>
      <w:r>
        <w:rPr>
          <w:rFonts w:hint="eastAsia"/>
        </w:rPr>
        <w:t>宣传活动</w:t>
      </w:r>
      <w:r>
        <w:rPr>
          <w:rFonts w:hint="eastAsia"/>
          <w:lang w:val="en-US" w:eastAsia="zh-CN"/>
        </w:rPr>
        <w:t>为契机，分享</w:t>
      </w:r>
      <w:r>
        <w:rPr>
          <w:rFonts w:hint="eastAsia"/>
        </w:rPr>
        <w:t>碳达峰试点创建工作</w:t>
      </w:r>
      <w:r>
        <w:rPr>
          <w:rFonts w:hint="eastAsia"/>
          <w:lang w:val="en-US" w:eastAsia="zh-CN"/>
        </w:rPr>
        <w:t>实践经验，加强对公众生态文明科普教育，普及碳达峰、碳中和基础知识。</w:t>
      </w:r>
      <w:r>
        <w:rPr>
          <w:rFonts w:hint="eastAsia"/>
        </w:rPr>
        <w:t>探索建设碳达峰碳中和主题</w:t>
      </w:r>
      <w:r>
        <w:rPr>
          <w:rFonts w:hint="eastAsia"/>
          <w:lang w:val="en-US" w:eastAsia="zh-CN"/>
        </w:rPr>
        <w:t>宣传教育</w:t>
      </w:r>
      <w:r>
        <w:rPr>
          <w:rFonts w:hint="eastAsia"/>
        </w:rPr>
        <w:t>基地，推动创建绿色低碳发展的良好氛围</w:t>
      </w:r>
      <w:r>
        <w:rPr>
          <w:rFonts w:hint="eastAsia"/>
          <w:lang w:eastAsia="zh-CN"/>
        </w:rPr>
        <w:t>。</w:t>
      </w:r>
      <w:r>
        <w:rPr>
          <w:rFonts w:hint="eastAsia"/>
          <w:b/>
          <w:bCs/>
          <w:lang w:eastAsia="zh-CN"/>
        </w:rPr>
        <w:t>（</w:t>
      </w:r>
      <w:r>
        <w:rPr>
          <w:rFonts w:hint="eastAsia"/>
          <w:b/>
          <w:bCs/>
          <w:lang w:val="en-US" w:eastAsia="zh-CN"/>
        </w:rPr>
        <w:t>责任单位：</w:t>
      </w:r>
      <w:r>
        <w:rPr>
          <w:rFonts w:hint="eastAsia"/>
          <w:b/>
          <w:bCs/>
          <w:lang w:eastAsia="zh-CN"/>
        </w:rPr>
        <w:t>综合办公室、经济发展局）</w:t>
      </w:r>
    </w:p>
    <w:p w14:paraId="5D3566C9">
      <w:pPr>
        <w:pStyle w:val="3"/>
        <w:ind w:firstLine="640"/>
      </w:pPr>
      <w:bookmarkStart w:id="188" w:name="_Toc8337"/>
      <w:bookmarkStart w:id="189" w:name="_Toc16521"/>
      <w:bookmarkStart w:id="190" w:name="_Toc16328"/>
      <w:bookmarkStart w:id="191" w:name="_Toc22766"/>
      <w:bookmarkStart w:id="192" w:name="_Toc8439"/>
      <w:r>
        <w:rPr>
          <w:rFonts w:hint="eastAsia"/>
        </w:rPr>
        <w:t>（</w:t>
      </w:r>
      <w:r>
        <w:rPr>
          <w:rFonts w:hint="eastAsia"/>
          <w:lang w:val="en-US" w:eastAsia="zh-CN"/>
        </w:rPr>
        <w:t>二</w:t>
      </w:r>
      <w:r>
        <w:rPr>
          <w:rFonts w:hint="eastAsia"/>
        </w:rPr>
        <w:t>）推广绿色低碳生活方式</w:t>
      </w:r>
      <w:bookmarkEnd w:id="188"/>
      <w:bookmarkEnd w:id="189"/>
      <w:bookmarkEnd w:id="190"/>
      <w:bookmarkEnd w:id="191"/>
      <w:bookmarkEnd w:id="192"/>
    </w:p>
    <w:p w14:paraId="2B6AD1B1">
      <w:pPr>
        <w:ind w:firstLine="640"/>
        <w:rPr>
          <w:rFonts w:hint="eastAsia"/>
          <w:lang w:val="en-US" w:eastAsia="zh-CN"/>
        </w:rPr>
      </w:pPr>
      <w:r>
        <w:rPr>
          <w:rFonts w:hint="eastAsia"/>
          <w:lang w:val="en-US" w:eastAsia="zh-CN"/>
        </w:rPr>
        <w:t>深入推进节约型机关，强化公共机构节能降碳管理能力，制定节能目标责任评价考核制度，实施节能降碳改造和用能设备更新清单管理，加快淘汰老旧柴油公务用车。倡导简约适度、绿色低碳、文明健康的生活理念和生活方式，坚决制止餐饮浪费行为。充分发挥媒体作用，完善公众参与制度，加大对能源浪费行为的曝光力度，营造人人、事事、时时参与节能降碳的新风尚。</w:t>
      </w:r>
      <w:r>
        <w:rPr>
          <w:rFonts w:hint="eastAsia"/>
          <w:b/>
          <w:bCs/>
          <w:lang w:eastAsia="zh-CN"/>
        </w:rPr>
        <w:t>（</w:t>
      </w:r>
      <w:r>
        <w:rPr>
          <w:rFonts w:hint="eastAsia"/>
          <w:b/>
          <w:bCs/>
          <w:lang w:val="en-US" w:eastAsia="zh-CN"/>
        </w:rPr>
        <w:t>责任单位：</w:t>
      </w:r>
      <w:r>
        <w:rPr>
          <w:rFonts w:hint="eastAsia"/>
          <w:b/>
          <w:bCs/>
          <w:lang w:eastAsia="zh-CN"/>
        </w:rPr>
        <w:t>综合办公室、经济发展局）</w:t>
      </w:r>
    </w:p>
    <w:p w14:paraId="389F386F">
      <w:pPr>
        <w:pStyle w:val="3"/>
        <w:ind w:firstLine="640"/>
      </w:pPr>
      <w:bookmarkStart w:id="193" w:name="_Toc23803"/>
      <w:bookmarkStart w:id="194" w:name="_Toc17983"/>
      <w:bookmarkStart w:id="195" w:name="_Toc4138"/>
      <w:bookmarkStart w:id="196" w:name="_Toc7270"/>
      <w:bookmarkStart w:id="197" w:name="_Toc21615"/>
      <w:r>
        <w:rPr>
          <w:rFonts w:hint="eastAsia"/>
        </w:rPr>
        <w:t>（</w:t>
      </w:r>
      <w:r>
        <w:rPr>
          <w:rFonts w:hint="eastAsia"/>
          <w:lang w:val="en-US" w:eastAsia="zh-CN"/>
        </w:rPr>
        <w:t>三</w:t>
      </w:r>
      <w:r>
        <w:rPr>
          <w:rFonts w:hint="eastAsia"/>
        </w:rPr>
        <w:t>）引导企业履行社会责任</w:t>
      </w:r>
      <w:bookmarkEnd w:id="193"/>
      <w:bookmarkEnd w:id="194"/>
      <w:bookmarkEnd w:id="195"/>
      <w:bookmarkEnd w:id="196"/>
      <w:bookmarkEnd w:id="197"/>
    </w:p>
    <w:p w14:paraId="04FB892F">
      <w:pPr>
        <w:ind w:firstLine="640"/>
        <w:rPr>
          <w:rFonts w:hint="eastAsia"/>
          <w:lang w:val="en-US" w:eastAsia="zh-CN"/>
        </w:rPr>
      </w:pPr>
      <w:r>
        <w:rPr>
          <w:rFonts w:hint="eastAsia"/>
          <w:lang w:val="en-US" w:eastAsia="zh-CN"/>
        </w:rPr>
        <w:t>引导企业主动适应绿色低碳发展要求，强化环境责任意识，加强能源资源节约，提升绿色创新水平，自觉加快绿色转型进程。重点领域国有企业要制定实施企业碳达峰行动方案，发挥示范引领作用。重点用能单位要梳理核算自身碳排放情况，深入研究碳减排路径，“一企一策”制定专项工作方案，推进节能降碳。相关上市公司和发债企业要按照环境信息依法披露要求，定期公布企业碳排放信息。</w:t>
      </w:r>
      <w:r>
        <w:rPr>
          <w:rFonts w:hint="eastAsia"/>
          <w:b/>
          <w:bCs/>
          <w:lang w:eastAsia="zh-CN"/>
        </w:rPr>
        <w:t>（</w:t>
      </w:r>
      <w:r>
        <w:rPr>
          <w:rFonts w:hint="eastAsia"/>
          <w:b/>
          <w:bCs/>
          <w:lang w:val="en-US" w:eastAsia="zh-CN"/>
        </w:rPr>
        <w:t>责任单位：</w:t>
      </w:r>
      <w:r>
        <w:rPr>
          <w:rFonts w:hint="eastAsia"/>
          <w:b/>
          <w:bCs/>
          <w:lang w:eastAsia="zh-CN"/>
        </w:rPr>
        <w:t>综合办公室、经济发展局、</w:t>
      </w:r>
      <w:r>
        <w:rPr>
          <w:rFonts w:hint="eastAsia"/>
          <w:b/>
          <w:bCs/>
          <w:lang w:val="en-US" w:eastAsia="zh-CN"/>
        </w:rPr>
        <w:t>投资促进局</w:t>
      </w:r>
      <w:r>
        <w:rPr>
          <w:rFonts w:hint="eastAsia"/>
          <w:b/>
          <w:bCs/>
          <w:lang w:eastAsia="zh-CN"/>
        </w:rPr>
        <w:t>）</w:t>
      </w:r>
    </w:p>
    <w:p w14:paraId="73619208">
      <w:pPr>
        <w:pStyle w:val="3"/>
        <w:ind w:firstLine="640"/>
      </w:pPr>
      <w:bookmarkStart w:id="198" w:name="_Toc11294"/>
      <w:bookmarkStart w:id="199" w:name="_Toc22664"/>
      <w:bookmarkStart w:id="200" w:name="_Toc13435"/>
      <w:bookmarkStart w:id="201" w:name="_Toc6376"/>
      <w:bookmarkStart w:id="202" w:name="_Toc7554"/>
      <w:r>
        <w:rPr>
          <w:rFonts w:hint="eastAsia"/>
        </w:rPr>
        <w:t>（</w:t>
      </w:r>
      <w:r>
        <w:rPr>
          <w:rFonts w:hint="eastAsia"/>
          <w:lang w:val="en-US" w:eastAsia="zh-CN"/>
        </w:rPr>
        <w:t>四</w:t>
      </w:r>
      <w:r>
        <w:rPr>
          <w:rFonts w:hint="eastAsia"/>
        </w:rPr>
        <w:t>）强化领导干部培训</w:t>
      </w:r>
      <w:bookmarkEnd w:id="198"/>
      <w:bookmarkEnd w:id="199"/>
      <w:bookmarkEnd w:id="200"/>
      <w:bookmarkEnd w:id="201"/>
      <w:bookmarkEnd w:id="202"/>
    </w:p>
    <w:p w14:paraId="6D83640E">
      <w:pPr>
        <w:ind w:firstLine="640"/>
        <w:rPr>
          <w:rFonts w:hint="eastAsia"/>
        </w:rPr>
      </w:pPr>
      <w:r>
        <w:rPr>
          <w:rFonts w:hint="eastAsia"/>
        </w:rPr>
        <w:t>加强各级领导干部碳达峰、碳中和教育培训，将学习贯彻习近平生态文明思想作为干部教育培训的核心内容，将碳达峰、碳中和相关内容列入教学计划，分阶段、多层次对各级领导干部开展培训，普及科学知识，宣讲政策要点，深化各级领导干部对碳达峰、碳中和工作重要性、紧迫性、科学性、系统性</w:t>
      </w:r>
      <w:r>
        <w:rPr>
          <w:rFonts w:hint="eastAsia"/>
          <w:lang w:eastAsia="zh-CN"/>
        </w:rPr>
        <w:t>的</w:t>
      </w:r>
      <w:r>
        <w:rPr>
          <w:rFonts w:hint="eastAsia"/>
        </w:rPr>
        <w:t>认识。从事绿色低碳发展相关工作的领导干部要尽快提升专业素养和业务能力，切实增强推动绿色低碳发展的本领。</w:t>
      </w:r>
      <w:r>
        <w:rPr>
          <w:rFonts w:hint="eastAsia"/>
          <w:b/>
          <w:bCs/>
          <w:lang w:eastAsia="zh-CN"/>
        </w:rPr>
        <w:t>（</w:t>
      </w:r>
      <w:r>
        <w:rPr>
          <w:rFonts w:hint="eastAsia"/>
          <w:b/>
          <w:bCs/>
          <w:lang w:val="en-US" w:eastAsia="zh-CN"/>
        </w:rPr>
        <w:t>责任单位：</w:t>
      </w:r>
      <w:r>
        <w:rPr>
          <w:rFonts w:hint="eastAsia"/>
          <w:b/>
          <w:bCs/>
          <w:lang w:eastAsia="zh-CN"/>
        </w:rPr>
        <w:t>经济发展局、投资促进局、</w:t>
      </w:r>
      <w:r>
        <w:rPr>
          <w:rFonts w:hint="eastAsia"/>
          <w:b/>
          <w:bCs/>
        </w:rPr>
        <w:t>高新区专项工作组</w:t>
      </w:r>
      <w:r>
        <w:rPr>
          <w:rFonts w:hint="eastAsia"/>
          <w:b/>
          <w:bCs/>
          <w:lang w:eastAsia="zh-CN"/>
        </w:rPr>
        <w:t>）</w:t>
      </w:r>
    </w:p>
    <w:p w14:paraId="6DD64A56">
      <w:pPr>
        <w:ind w:firstLine="640"/>
        <w:rPr>
          <w:rFonts w:cs="Times New Roman"/>
        </w:rPr>
      </w:pPr>
      <w:r>
        <w:rPr>
          <w:rFonts w:cs="Times New Roman"/>
        </w:rPr>
        <w:br w:type="page"/>
      </w:r>
    </w:p>
    <w:p w14:paraId="6E64D079">
      <w:pPr>
        <w:pStyle w:val="2"/>
        <w:ind w:firstLine="640"/>
      </w:pPr>
      <w:bookmarkStart w:id="203" w:name="_Toc27076"/>
      <w:bookmarkStart w:id="204" w:name="_Toc15074"/>
      <w:bookmarkStart w:id="205" w:name="_Toc6044"/>
      <w:bookmarkStart w:id="206" w:name="_Toc24564"/>
      <w:bookmarkStart w:id="207" w:name="_Toc21086"/>
      <w:r>
        <w:rPr>
          <w:rFonts w:hint="eastAsia"/>
        </w:rPr>
        <w:t>八、保障措施</w:t>
      </w:r>
      <w:bookmarkEnd w:id="203"/>
      <w:bookmarkEnd w:id="204"/>
      <w:bookmarkEnd w:id="205"/>
      <w:bookmarkEnd w:id="206"/>
      <w:bookmarkEnd w:id="207"/>
    </w:p>
    <w:p w14:paraId="6302B4D5">
      <w:pPr>
        <w:pStyle w:val="3"/>
        <w:ind w:firstLine="640"/>
      </w:pPr>
      <w:bookmarkStart w:id="208" w:name="_Toc15593"/>
      <w:bookmarkStart w:id="209" w:name="_Toc14545"/>
      <w:bookmarkStart w:id="210" w:name="_Toc4071"/>
      <w:bookmarkStart w:id="211" w:name="_Toc32530"/>
      <w:bookmarkStart w:id="212" w:name="_Toc16888"/>
      <w:r>
        <w:rPr>
          <w:rFonts w:hint="eastAsia"/>
        </w:rPr>
        <w:t>（一）</w:t>
      </w:r>
      <w:r>
        <w:rPr>
          <w:rFonts w:hint="eastAsia"/>
          <w:lang w:val="en-US" w:eastAsia="zh-CN"/>
        </w:rPr>
        <w:t>加强</w:t>
      </w:r>
      <w:r>
        <w:rPr>
          <w:rFonts w:hint="eastAsia"/>
        </w:rPr>
        <w:t>组织领导</w:t>
      </w:r>
      <w:bookmarkEnd w:id="208"/>
      <w:bookmarkEnd w:id="209"/>
      <w:bookmarkEnd w:id="210"/>
      <w:bookmarkEnd w:id="211"/>
      <w:bookmarkEnd w:id="212"/>
    </w:p>
    <w:p w14:paraId="59ECC986">
      <w:pPr>
        <w:ind w:firstLine="640"/>
      </w:pPr>
      <w:r>
        <w:rPr>
          <w:rFonts w:hint="eastAsia"/>
        </w:rPr>
        <w:t>加强党工委对碳达峰、碳中和工作的领导，落实领导干部生态文明建设责任制，切实当好“生态卫士”。做好重要事项统筹研究、重大政策制定、重大问题协调解决，适时开展阶段性评估，根据国家、兵团、师市政策和工作形势对实施方案进行调整完善。加强统筹协调，定期对重点区域、重点领域、重点行业工作进展情况进行调度、评估，协调解决碳达峰工作中遇到的问题，督促各项目标任务落实落细。</w:t>
      </w:r>
      <w:r>
        <w:rPr>
          <w:rFonts w:hint="eastAsia"/>
          <w:b/>
          <w:bCs/>
          <w:lang w:eastAsia="zh-CN"/>
        </w:rPr>
        <w:t>（</w:t>
      </w:r>
      <w:r>
        <w:rPr>
          <w:rFonts w:hint="eastAsia"/>
          <w:b/>
          <w:bCs/>
          <w:lang w:val="en-US" w:eastAsia="zh-CN"/>
        </w:rPr>
        <w:t>责任单位：</w:t>
      </w:r>
      <w:r>
        <w:rPr>
          <w:rFonts w:hint="eastAsia"/>
          <w:b/>
          <w:bCs/>
          <w:lang w:eastAsia="zh-CN"/>
        </w:rPr>
        <w:t>综合办公室、经济发展局）</w:t>
      </w:r>
    </w:p>
    <w:p w14:paraId="0B19A4D9">
      <w:pPr>
        <w:pStyle w:val="3"/>
        <w:ind w:firstLine="640"/>
      </w:pPr>
      <w:bookmarkStart w:id="213" w:name="_Toc25657"/>
      <w:bookmarkStart w:id="214" w:name="_Toc20045"/>
      <w:bookmarkStart w:id="215" w:name="_Toc1177"/>
      <w:bookmarkStart w:id="216" w:name="_Toc1801"/>
      <w:bookmarkStart w:id="217" w:name="_Toc22559"/>
      <w:r>
        <w:rPr>
          <w:rFonts w:hint="eastAsia"/>
        </w:rPr>
        <w:t>（二）</w:t>
      </w:r>
      <w:r>
        <w:rPr>
          <w:rFonts w:hint="eastAsia"/>
          <w:lang w:val="en-US" w:eastAsia="zh-CN"/>
        </w:rPr>
        <w:t>做好协调联动</w:t>
      </w:r>
      <w:bookmarkEnd w:id="213"/>
      <w:bookmarkEnd w:id="214"/>
      <w:bookmarkEnd w:id="215"/>
      <w:bookmarkEnd w:id="216"/>
      <w:bookmarkEnd w:id="217"/>
    </w:p>
    <w:p w14:paraId="128E4F3C">
      <w:pPr>
        <w:ind w:firstLine="640"/>
      </w:pPr>
      <w:r>
        <w:rPr>
          <w:rFonts w:hint="eastAsia"/>
          <w:color w:val="auto"/>
          <w:highlight w:val="none"/>
        </w:rPr>
        <w:t>五中心、两专班、两公司要深刻认识碳达峰、碳中和工作的重要性、紧迫性、复杂性，严格落实</w:t>
      </w:r>
      <w:r>
        <w:rPr>
          <w:rFonts w:hint="eastAsia"/>
          <w:color w:val="auto"/>
          <w:highlight w:val="none"/>
          <w:lang w:eastAsia="zh-CN"/>
        </w:rPr>
        <w:t>“党政同责”</w:t>
      </w:r>
      <w:r>
        <w:rPr>
          <w:rFonts w:hint="eastAsia"/>
          <w:color w:val="auto"/>
          <w:highlight w:val="none"/>
        </w:rPr>
        <w:t>，切实扛起政治责任，扎实推进相关工作，确保政策到位、措施到位、成效到位。将碳达峰、碳中和工作的目标要求贯穿开发区经济社会发展全过程和各领域，融入经济社会发展中长期规划，强化国土空间规划、专项规划、区域规划对碳达峰、碳中和的支持保障。加强各级各类规划衔接协调，确保各部门落实碳达峰的主要目标、发展方向、重大政策、重大工程等协调一致</w:t>
      </w:r>
      <w:r>
        <w:rPr>
          <w:rFonts w:hint="eastAsia"/>
          <w:color w:val="auto"/>
          <w:highlight w:val="none"/>
          <w:lang w:eastAsia="zh-CN"/>
        </w:rPr>
        <w:t>。</w:t>
      </w:r>
      <w:r>
        <w:rPr>
          <w:rFonts w:hint="eastAsia"/>
          <w:b/>
          <w:bCs/>
          <w:lang w:eastAsia="zh-CN"/>
        </w:rPr>
        <w:t>（</w:t>
      </w:r>
      <w:r>
        <w:rPr>
          <w:rFonts w:hint="eastAsia"/>
          <w:b/>
          <w:bCs/>
          <w:lang w:val="en-US" w:eastAsia="zh-CN"/>
        </w:rPr>
        <w:t>责任单位：</w:t>
      </w:r>
      <w:r>
        <w:rPr>
          <w:rFonts w:hint="eastAsia"/>
          <w:b/>
          <w:bCs/>
          <w:lang w:eastAsia="zh-CN"/>
        </w:rPr>
        <w:t>综合办公室</w:t>
      </w:r>
      <w:r>
        <w:rPr>
          <w:rFonts w:hint="eastAsia"/>
          <w:b/>
          <w:bCs/>
        </w:rPr>
        <w:t>、</w:t>
      </w:r>
      <w:r>
        <w:rPr>
          <w:rFonts w:hint="eastAsia"/>
          <w:b/>
          <w:bCs/>
          <w:lang w:eastAsia="zh-CN"/>
        </w:rPr>
        <w:t>投资促进局</w:t>
      </w:r>
      <w:r>
        <w:rPr>
          <w:rFonts w:hint="eastAsia"/>
          <w:b/>
          <w:bCs/>
        </w:rPr>
        <w:t>、</w:t>
      </w:r>
      <w:r>
        <w:rPr>
          <w:rFonts w:hint="eastAsia"/>
          <w:b/>
          <w:bCs/>
          <w:lang w:eastAsia="zh-CN"/>
        </w:rPr>
        <w:t>经济发展局</w:t>
      </w:r>
      <w:r>
        <w:rPr>
          <w:rFonts w:hint="eastAsia"/>
          <w:b/>
          <w:bCs/>
        </w:rPr>
        <w:t>、</w:t>
      </w:r>
      <w:r>
        <w:rPr>
          <w:rFonts w:hint="eastAsia"/>
          <w:b/>
          <w:bCs/>
          <w:lang w:eastAsia="zh-CN"/>
        </w:rPr>
        <w:t>财政局</w:t>
      </w:r>
      <w:r>
        <w:rPr>
          <w:rFonts w:hint="eastAsia"/>
          <w:b/>
          <w:bCs/>
        </w:rPr>
        <w:t>、</w:t>
      </w:r>
      <w:r>
        <w:rPr>
          <w:rFonts w:hint="eastAsia"/>
          <w:b/>
          <w:bCs/>
          <w:lang w:eastAsia="zh-CN"/>
        </w:rPr>
        <w:t>应急管理局</w:t>
      </w:r>
      <w:r>
        <w:rPr>
          <w:rFonts w:hint="eastAsia"/>
          <w:b/>
          <w:bCs/>
        </w:rPr>
        <w:t>、高新区专项工作组、</w:t>
      </w:r>
      <w:r>
        <w:rPr>
          <w:rFonts w:hint="eastAsia"/>
          <w:b/>
          <w:bCs/>
          <w:lang w:eastAsia="zh-CN"/>
        </w:rPr>
        <w:t>规划建设局</w:t>
      </w:r>
      <w:r>
        <w:rPr>
          <w:rFonts w:hint="eastAsia"/>
          <w:b/>
          <w:bCs/>
        </w:rPr>
        <w:t>、十户滩新材料工业园区管理办公室</w:t>
      </w:r>
      <w:r>
        <w:rPr>
          <w:rFonts w:hint="eastAsia"/>
          <w:b/>
          <w:bCs/>
          <w:lang w:eastAsia="zh-CN"/>
        </w:rPr>
        <w:t>、</w:t>
      </w:r>
      <w:r>
        <w:rPr>
          <w:rFonts w:hint="eastAsia"/>
          <w:b/>
          <w:bCs/>
          <w:lang w:val="en-US" w:eastAsia="zh-CN"/>
        </w:rPr>
        <w:t>平台公司</w:t>
      </w:r>
      <w:r>
        <w:rPr>
          <w:rFonts w:hint="eastAsia"/>
          <w:b/>
          <w:bCs/>
          <w:lang w:eastAsia="zh-CN"/>
        </w:rPr>
        <w:t>）</w:t>
      </w:r>
    </w:p>
    <w:p w14:paraId="4D7A1A65">
      <w:pPr>
        <w:pStyle w:val="3"/>
        <w:ind w:firstLine="640"/>
        <w:rPr>
          <w:rFonts w:hint="default" w:eastAsia="楷体_GB2312"/>
          <w:lang w:val="en-US" w:eastAsia="zh-CN"/>
        </w:rPr>
      </w:pPr>
      <w:bookmarkStart w:id="218" w:name="_Toc150"/>
      <w:bookmarkStart w:id="219" w:name="_Toc8541"/>
      <w:bookmarkStart w:id="220" w:name="_Toc6576"/>
      <w:bookmarkStart w:id="221" w:name="_Toc30290"/>
      <w:bookmarkStart w:id="222" w:name="_Toc10117"/>
      <w:r>
        <w:rPr>
          <w:rFonts w:hint="eastAsia"/>
        </w:rPr>
        <w:t>（</w:t>
      </w:r>
      <w:r>
        <w:rPr>
          <w:rFonts w:hint="eastAsia"/>
          <w:lang w:val="en-US" w:eastAsia="zh-CN"/>
        </w:rPr>
        <w:t>三</w:t>
      </w:r>
      <w:r>
        <w:rPr>
          <w:rFonts w:hint="eastAsia"/>
        </w:rPr>
        <w:t>）</w:t>
      </w:r>
      <w:r>
        <w:rPr>
          <w:rFonts w:hint="eastAsia"/>
          <w:lang w:val="en-US" w:eastAsia="zh-CN"/>
        </w:rPr>
        <w:t>强化政策支持</w:t>
      </w:r>
      <w:bookmarkEnd w:id="218"/>
      <w:bookmarkEnd w:id="219"/>
      <w:bookmarkEnd w:id="220"/>
      <w:bookmarkEnd w:id="221"/>
      <w:bookmarkEnd w:id="222"/>
    </w:p>
    <w:p w14:paraId="731188B6">
      <w:pPr>
        <w:ind w:firstLine="640"/>
      </w:pPr>
      <w:r>
        <w:rPr>
          <w:rFonts w:hint="eastAsia"/>
          <w:color w:val="auto"/>
          <w:highlight w:val="none"/>
        </w:rPr>
        <w:t>统筹生态环境保护、节能降碳等资金，加大对碳达峰、碳中和工作支持力度。对重点企业能效达到标杆水平的，在电力保障机制中优先保障，对其新建项目在能耗指标上给予适当帮助与支持。依托国家两重两新、兵团节能高质量发展、师市工业高质量发展等专项资金，鼓励企业开展节能减碳技改、老旧重点用能设备更新、绿色制造体系申报、生态环境治理等项目。落实环境保护、节能节水、资源综合利用等奖励政策，加大绿色低碳产品政府采购力度。健全污水处理收费制度，落实阶梯水价、阶梯电价、国家差别化电价和惩罚性电价政策，清理取消高耗能企业优惠电价。落实好碳减排支持工具和支持煤炭清洁高效利用专项再贷款，鼓励金融机构深化绿色金融产品和服务模式创新，为绿色低碳项目提供信贷资金供给。支持符合条件的绿色低碳产业相关企业上市融资和再融资</w:t>
      </w:r>
      <w:r>
        <w:rPr>
          <w:rFonts w:hint="eastAsia"/>
        </w:rPr>
        <w:t>。</w:t>
      </w:r>
      <w:r>
        <w:rPr>
          <w:rFonts w:hint="eastAsia"/>
          <w:b/>
          <w:bCs/>
          <w:lang w:eastAsia="zh-CN"/>
        </w:rPr>
        <w:t>（</w:t>
      </w:r>
      <w:r>
        <w:rPr>
          <w:rFonts w:hint="eastAsia"/>
          <w:b/>
          <w:bCs/>
          <w:lang w:val="en-US" w:eastAsia="zh-CN"/>
        </w:rPr>
        <w:t>责任单位：</w:t>
      </w:r>
      <w:r>
        <w:rPr>
          <w:rFonts w:hint="eastAsia"/>
          <w:b/>
          <w:bCs/>
          <w:lang w:eastAsia="zh-CN"/>
        </w:rPr>
        <w:t>经济发展局</w:t>
      </w:r>
      <w:r>
        <w:rPr>
          <w:rFonts w:hint="eastAsia"/>
          <w:b/>
          <w:bCs/>
        </w:rPr>
        <w:t>、</w:t>
      </w:r>
      <w:r>
        <w:rPr>
          <w:rFonts w:hint="eastAsia"/>
          <w:b/>
          <w:bCs/>
          <w:lang w:eastAsia="zh-CN"/>
        </w:rPr>
        <w:t>投资促进局</w:t>
      </w:r>
      <w:r>
        <w:rPr>
          <w:rFonts w:hint="eastAsia"/>
          <w:b/>
          <w:bCs/>
        </w:rPr>
        <w:t>、</w:t>
      </w:r>
      <w:r>
        <w:rPr>
          <w:rFonts w:hint="eastAsia"/>
          <w:b/>
          <w:bCs/>
          <w:lang w:eastAsia="zh-CN"/>
        </w:rPr>
        <w:t>财政局</w:t>
      </w:r>
      <w:r>
        <w:rPr>
          <w:rFonts w:hint="eastAsia"/>
          <w:b/>
          <w:bCs/>
        </w:rPr>
        <w:t>、高新区专项工作组</w:t>
      </w:r>
      <w:r>
        <w:rPr>
          <w:rFonts w:hint="eastAsia"/>
          <w:b/>
          <w:bCs/>
          <w:lang w:eastAsia="zh-CN"/>
        </w:rPr>
        <w:t>）</w:t>
      </w:r>
    </w:p>
    <w:p w14:paraId="44EC8795">
      <w:pPr>
        <w:pStyle w:val="3"/>
        <w:ind w:firstLine="640"/>
        <w:rPr>
          <w:rFonts w:hint="default"/>
          <w:lang w:val="en-US"/>
        </w:rPr>
      </w:pPr>
      <w:bookmarkStart w:id="223" w:name="_Toc32477"/>
      <w:bookmarkStart w:id="224" w:name="_Toc31055"/>
      <w:bookmarkStart w:id="225" w:name="_Toc27090"/>
      <w:bookmarkStart w:id="226" w:name="_Toc21802"/>
      <w:bookmarkStart w:id="227" w:name="_Toc21907"/>
      <w:r>
        <w:rPr>
          <w:rFonts w:hint="eastAsia"/>
        </w:rPr>
        <w:t>（四）</w:t>
      </w:r>
      <w:r>
        <w:rPr>
          <w:rFonts w:hint="eastAsia"/>
          <w:lang w:val="en-US" w:eastAsia="zh-CN"/>
        </w:rPr>
        <w:t>完善市场机制</w:t>
      </w:r>
      <w:bookmarkEnd w:id="223"/>
      <w:bookmarkEnd w:id="224"/>
      <w:bookmarkEnd w:id="225"/>
      <w:bookmarkEnd w:id="226"/>
      <w:bookmarkEnd w:id="227"/>
    </w:p>
    <w:p w14:paraId="322933D3">
      <w:pPr>
        <w:ind w:firstLine="640"/>
        <w:rPr>
          <w:rFonts w:hint="eastAsia"/>
          <w:lang w:eastAsia="zh-CN"/>
        </w:rPr>
        <w:sectPr>
          <w:pgSz w:w="11906" w:h="16838"/>
          <w:pgMar w:top="2098" w:right="1474" w:bottom="1985" w:left="1588" w:header="1134" w:footer="1134" w:gutter="0"/>
          <w:cols w:space="425" w:num="1"/>
          <w:docGrid w:type="linesAndChars" w:linePitch="312" w:charSpace="0"/>
        </w:sectPr>
      </w:pPr>
      <w:r>
        <w:rPr>
          <w:rFonts w:hint="eastAsia"/>
        </w:rPr>
        <w:t>推动开发区内企业有序参与全国碳排放权交易市场，组织开展好相关重点排放单位碳排放报告和核查工作，加强数据质量监督管理、配额分配和清缴履约工作。落实用能权有偿使用和交易制度，推动能源要素向优质项目、企业、产业流动和集聚。加强碳排放权交易、用能权交易、电力交易衔接协调。推动绿色低碳技术的市场交易与推广运用，加速科技成果转移转化，促进绿色低碳科技项目落地。推动节能减排市场化，推广合同能源管理、合同节水管理和节能托管、园区第三方污染治理等综合服务</w:t>
      </w:r>
      <w:r>
        <w:rPr>
          <w:rFonts w:hint="eastAsia"/>
          <w:lang w:eastAsia="zh-CN"/>
        </w:rPr>
        <w:t>。</w:t>
      </w:r>
      <w:bookmarkEnd w:id="22"/>
      <w:r>
        <w:rPr>
          <w:rFonts w:hint="eastAsia"/>
          <w:b/>
          <w:bCs/>
          <w:lang w:eastAsia="zh-CN"/>
        </w:rPr>
        <w:t>（</w:t>
      </w:r>
      <w:r>
        <w:rPr>
          <w:rFonts w:hint="eastAsia"/>
          <w:b/>
          <w:bCs/>
          <w:lang w:val="en-US" w:eastAsia="zh-CN"/>
        </w:rPr>
        <w:t>责任单位：</w:t>
      </w:r>
      <w:r>
        <w:rPr>
          <w:rFonts w:hint="eastAsia"/>
          <w:b/>
          <w:bCs/>
          <w:lang w:eastAsia="zh-CN"/>
        </w:rPr>
        <w:t>经济发展局</w:t>
      </w:r>
      <w:r>
        <w:rPr>
          <w:rFonts w:hint="eastAsia"/>
          <w:b/>
          <w:bCs/>
        </w:rPr>
        <w:t>、高新区专项工作组</w:t>
      </w:r>
      <w:r>
        <w:rPr>
          <w:rFonts w:hint="eastAsia"/>
          <w:b/>
          <w:bCs/>
          <w:lang w:eastAsia="zh-CN"/>
        </w:rPr>
        <w:t>）</w:t>
      </w:r>
    </w:p>
    <w:p w14:paraId="2C5CB83E">
      <w:pPr>
        <w:pStyle w:val="2"/>
        <w:ind w:firstLine="640"/>
        <w:rPr>
          <w:rFonts w:hint="eastAsia" w:eastAsia="黑体"/>
          <w:lang w:val="en-US" w:eastAsia="zh-CN"/>
        </w:rPr>
      </w:pPr>
      <w:bookmarkStart w:id="232" w:name="_GoBack"/>
      <w:bookmarkEnd w:id="232"/>
      <w:bookmarkStart w:id="228" w:name="_Toc9494"/>
      <w:r>
        <w:rPr>
          <w:rFonts w:hint="eastAsia"/>
          <w:lang w:val="en-US" w:eastAsia="zh-CN"/>
        </w:rPr>
        <w:t>九</w:t>
      </w:r>
      <w:r>
        <w:rPr>
          <w:rFonts w:hint="eastAsia"/>
        </w:rPr>
        <w:t>、</w:t>
      </w:r>
      <w:r>
        <w:rPr>
          <w:rFonts w:hint="eastAsia"/>
          <w:lang w:val="en-US" w:eastAsia="zh-CN"/>
        </w:rPr>
        <w:t>附件</w:t>
      </w:r>
      <w:bookmarkEnd w:id="228"/>
    </w:p>
    <w:p w14:paraId="1A893AF2">
      <w:pPr>
        <w:pStyle w:val="3"/>
        <w:ind w:firstLine="640"/>
      </w:pPr>
      <w:bookmarkStart w:id="229" w:name="_Toc22597"/>
      <w:r>
        <w:rPr>
          <w:rFonts w:hint="eastAsia"/>
          <w:lang w:val="en-US" w:eastAsia="zh-CN"/>
        </w:rPr>
        <w:t>1.重点任务清单</w:t>
      </w:r>
      <w:bookmarkEnd w:id="229"/>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843"/>
        <w:gridCol w:w="851"/>
        <w:gridCol w:w="2272"/>
        <w:gridCol w:w="6583"/>
        <w:gridCol w:w="1696"/>
      </w:tblGrid>
      <w:tr w14:paraId="3063C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trPr>
        <w:tc>
          <w:tcPr>
            <w:tcW w:w="278" w:type="pct"/>
            <w:vAlign w:val="center"/>
          </w:tcPr>
          <w:p w14:paraId="56FE7D4E">
            <w:pPr>
              <w:keepNext w:val="0"/>
              <w:keepLines/>
              <w:widowControl/>
              <w:suppressLineNumbers w:val="0"/>
              <w:ind w:left="0" w:leftChars="0" w:firstLine="0" w:firstLineChars="0"/>
              <w:jc w:val="center"/>
              <w:textAlignment w:val="center"/>
              <w:rPr>
                <w:rFonts w:hint="default" w:eastAsia="宋体" w:cs="Times New Roman"/>
                <w:b/>
                <w:bCs/>
                <w:kern w:val="2"/>
                <w:sz w:val="24"/>
                <w:szCs w:val="24"/>
                <w:highlight w:val="none"/>
                <w:lang w:val="en-US" w:eastAsia="zh-CN" w:bidi="ar-SA"/>
              </w:rPr>
            </w:pPr>
            <w:r>
              <w:rPr>
                <w:rFonts w:hint="eastAsia" w:eastAsia="宋体" w:cs="Times New Roman"/>
                <w:b/>
                <w:bCs/>
                <w:kern w:val="2"/>
                <w:sz w:val="24"/>
                <w:szCs w:val="24"/>
                <w:highlight w:val="none"/>
                <w:lang w:val="en-US" w:eastAsia="zh-CN" w:bidi="ar-SA"/>
              </w:rPr>
              <w:t>序号</w:t>
            </w:r>
          </w:p>
        </w:tc>
        <w:tc>
          <w:tcPr>
            <w:tcW w:w="653" w:type="pct"/>
            <w:gridSpan w:val="2"/>
            <w:vAlign w:val="center"/>
          </w:tcPr>
          <w:p w14:paraId="5C959F0C">
            <w:pPr>
              <w:pStyle w:val="35"/>
              <w:keepNext w:val="0"/>
              <w:keepLines/>
              <w:pageBreakBefore w:val="0"/>
              <w:widowControl/>
              <w:kinsoku/>
              <w:wordWrap/>
              <w:overflowPunct w:val="0"/>
              <w:topLinePunct w:val="0"/>
              <w:autoSpaceDE/>
              <w:autoSpaceDN/>
              <w:bidi w:val="0"/>
              <w:adjustRightInd/>
              <w:snapToGrid w:val="0"/>
              <w:ind w:firstLine="0" w:firstLineChars="0"/>
              <w:jc w:val="center"/>
              <w:textAlignment w:val="auto"/>
              <w:rPr>
                <w:rFonts w:hint="default" w:ascii="Times New Roman" w:hAnsi="Times New Roman" w:eastAsia="宋体" w:cs="Times New Roman"/>
                <w:b/>
                <w:bCs/>
                <w:kern w:val="2"/>
                <w:sz w:val="24"/>
                <w:szCs w:val="24"/>
                <w:highlight w:val="none"/>
                <w:lang w:val="en-US" w:eastAsia="zh-CN" w:bidi="ar-SA"/>
              </w:rPr>
            </w:pPr>
            <w:r>
              <w:rPr>
                <w:rFonts w:hint="eastAsia" w:cs="Times New Roman"/>
                <w:b/>
                <w:bCs/>
                <w:highlight w:val="none"/>
                <w:lang w:val="en-US" w:eastAsia="zh-CN"/>
              </w:rPr>
              <w:t>工作内容</w:t>
            </w:r>
          </w:p>
        </w:tc>
        <w:tc>
          <w:tcPr>
            <w:tcW w:w="3414" w:type="pct"/>
            <w:gridSpan w:val="2"/>
            <w:shd w:val="clear" w:color="auto" w:fill="auto"/>
            <w:vAlign w:val="center"/>
          </w:tcPr>
          <w:p w14:paraId="00557C68">
            <w:pPr>
              <w:keepNext w:val="0"/>
              <w:keepLines/>
              <w:widowControl/>
              <w:suppressLineNumbers w:val="0"/>
              <w:ind w:left="0" w:leftChars="0" w:firstLine="0" w:firstLineChars="0"/>
              <w:jc w:val="center"/>
              <w:textAlignment w:val="center"/>
              <w:rPr>
                <w:rFonts w:hint="default" w:ascii="Times New Roman" w:hAnsi="Times New Roman" w:eastAsia="宋体" w:cs="Times New Roman"/>
                <w:b/>
                <w:bCs/>
                <w:kern w:val="2"/>
                <w:sz w:val="24"/>
                <w:szCs w:val="24"/>
                <w:highlight w:val="none"/>
                <w:lang w:val="en-US" w:eastAsia="zh-CN" w:bidi="ar-SA"/>
              </w:rPr>
            </w:pPr>
            <w:r>
              <w:rPr>
                <w:rFonts w:hint="eastAsia" w:ascii="Times New Roman" w:hAnsi="Times New Roman" w:eastAsia="宋体" w:cs="Times New Roman"/>
                <w:b/>
                <w:bCs/>
                <w:kern w:val="2"/>
                <w:sz w:val="24"/>
                <w:szCs w:val="24"/>
                <w:highlight w:val="none"/>
                <w:lang w:val="en-US" w:eastAsia="zh-CN" w:bidi="ar-SA"/>
              </w:rPr>
              <w:t>重点工作任务</w:t>
            </w:r>
          </w:p>
        </w:tc>
        <w:tc>
          <w:tcPr>
            <w:tcW w:w="654" w:type="pct"/>
            <w:shd w:val="clear" w:color="auto" w:fill="auto"/>
            <w:vAlign w:val="center"/>
          </w:tcPr>
          <w:p w14:paraId="5366DF2A">
            <w:pPr>
              <w:keepNext w:val="0"/>
              <w:keepLines/>
              <w:widowControl/>
              <w:suppressLineNumbers w:val="0"/>
              <w:ind w:left="0" w:leftChars="0" w:firstLine="0" w:firstLineChars="0"/>
              <w:jc w:val="center"/>
              <w:textAlignment w:val="center"/>
              <w:rPr>
                <w:rFonts w:hint="default" w:ascii="Times New Roman" w:hAnsi="Times New Roman" w:eastAsia="宋体" w:cs="Times New Roman"/>
                <w:b/>
                <w:bCs/>
                <w:kern w:val="2"/>
                <w:sz w:val="24"/>
                <w:szCs w:val="24"/>
                <w:highlight w:val="none"/>
                <w:lang w:val="en-US" w:eastAsia="zh-CN" w:bidi="ar-SA"/>
              </w:rPr>
            </w:pPr>
            <w:r>
              <w:rPr>
                <w:rFonts w:hint="eastAsia" w:eastAsia="宋体" w:cs="Times New Roman"/>
                <w:b/>
                <w:bCs/>
                <w:kern w:val="2"/>
                <w:sz w:val="24"/>
                <w:szCs w:val="24"/>
                <w:highlight w:val="none"/>
                <w:lang w:val="en-US" w:eastAsia="zh-CN" w:bidi="ar-SA"/>
              </w:rPr>
              <w:t>责任部门</w:t>
            </w:r>
          </w:p>
        </w:tc>
      </w:tr>
      <w:tr w14:paraId="3998B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8" w:type="pct"/>
            <w:vAlign w:val="center"/>
          </w:tcPr>
          <w:p w14:paraId="51B6B4A8">
            <w:pPr>
              <w:keepNext w:val="0"/>
              <w:keepLines/>
              <w:widowControl/>
              <w:numPr>
                <w:ilvl w:val="0"/>
                <w:numId w:val="1"/>
              </w:numPr>
              <w:suppressLineNumbers w:val="0"/>
              <w:tabs>
                <w:tab w:val="clear" w:pos="0"/>
              </w:tabs>
              <w:ind w:left="454" w:leftChars="0" w:hanging="454" w:firstLineChars="0"/>
              <w:jc w:val="center"/>
              <w:textAlignment w:val="center"/>
              <w:rPr>
                <w:rFonts w:hint="default" w:ascii="Times New Roman" w:hAnsi="Times New Roman" w:eastAsia="宋体" w:cs="Times New Roman"/>
                <w:kern w:val="2"/>
                <w:sz w:val="24"/>
                <w:szCs w:val="24"/>
                <w:highlight w:val="none"/>
                <w:lang w:val="en-US" w:eastAsia="zh-CN" w:bidi="ar-SA"/>
              </w:rPr>
            </w:pPr>
          </w:p>
        </w:tc>
        <w:tc>
          <w:tcPr>
            <w:tcW w:w="325" w:type="pct"/>
            <w:vMerge w:val="restart"/>
            <w:vAlign w:val="center"/>
          </w:tcPr>
          <w:p w14:paraId="25EFDF38">
            <w:pPr>
              <w:pStyle w:val="35"/>
              <w:keepNext w:val="0"/>
              <w:keepLines/>
              <w:pageBreakBefore w:val="0"/>
              <w:widowControl/>
              <w:kinsoku/>
              <w:wordWrap/>
              <w:overflowPunct w:val="0"/>
              <w:topLinePunct w:val="0"/>
              <w:autoSpaceDE/>
              <w:autoSpaceDN/>
              <w:bidi w:val="0"/>
              <w:adjustRightInd/>
              <w:snapToGrid w:val="0"/>
              <w:ind w:firstLine="0" w:firstLineChars="0"/>
              <w:jc w:val="center"/>
              <w:textAlignment w:val="auto"/>
              <w:rPr>
                <w:rFonts w:hint="default" w:ascii="Times New Roman" w:hAnsi="Times New Roman" w:eastAsia="宋体" w:cs="Times New Roman"/>
                <w:highlight w:val="none"/>
                <w:lang w:val="en-US" w:eastAsia="zh-CN"/>
              </w:rPr>
            </w:pPr>
            <w:r>
              <w:rPr>
                <w:rFonts w:hint="eastAsia" w:cs="Times New Roman"/>
                <w:highlight w:val="none"/>
              </w:rPr>
              <w:t>推动产业绿色低碳发展</w:t>
            </w:r>
          </w:p>
        </w:tc>
        <w:tc>
          <w:tcPr>
            <w:tcW w:w="328" w:type="pct"/>
            <w:vMerge w:val="restart"/>
            <w:shd w:val="clear" w:color="auto" w:fill="auto"/>
            <w:vAlign w:val="center"/>
          </w:tcPr>
          <w:p w14:paraId="76CEFACE">
            <w:pPr>
              <w:keepNext w:val="0"/>
              <w:keepLines/>
              <w:widowControl/>
              <w:suppressLineNumbers w:val="0"/>
              <w:ind w:left="0" w:leftChars="0" w:firstLine="0" w:firstLineChars="0"/>
              <w:jc w:val="center"/>
              <w:textAlignment w:val="center"/>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sz w:val="24"/>
                <w:szCs w:val="24"/>
                <w:highlight w:val="none"/>
              </w:rPr>
              <w:t>推动重点行业节能降碳</w:t>
            </w:r>
          </w:p>
        </w:tc>
        <w:tc>
          <w:tcPr>
            <w:tcW w:w="876" w:type="pct"/>
            <w:shd w:val="clear" w:color="auto" w:fill="auto"/>
            <w:vAlign w:val="center"/>
          </w:tcPr>
          <w:p w14:paraId="347A8289">
            <w:pPr>
              <w:keepNext w:val="0"/>
              <w:keepLines/>
              <w:widowControl/>
              <w:suppressLineNumbers w:val="0"/>
              <w:ind w:left="0" w:leftChars="0" w:firstLine="0" w:firstLineChars="0"/>
              <w:jc w:val="center"/>
              <w:textAlignment w:val="center"/>
              <w:rPr>
                <w:rFonts w:hint="eastAsia" w:eastAsia="宋体" w:cs="Times New Roman"/>
                <w:sz w:val="24"/>
                <w:szCs w:val="24"/>
                <w:highlight w:val="none"/>
              </w:rPr>
            </w:pPr>
            <w:r>
              <w:rPr>
                <w:rFonts w:hint="eastAsia" w:eastAsia="宋体" w:cs="Times New Roman"/>
                <w:sz w:val="24"/>
                <w:szCs w:val="24"/>
                <w:highlight w:val="none"/>
              </w:rPr>
              <w:t>新材料领域</w:t>
            </w:r>
          </w:p>
        </w:tc>
        <w:tc>
          <w:tcPr>
            <w:tcW w:w="2538" w:type="pct"/>
            <w:shd w:val="clear" w:color="auto" w:fill="auto"/>
            <w:vAlign w:val="center"/>
          </w:tcPr>
          <w:p w14:paraId="252509D5">
            <w:pPr>
              <w:keepNext w:val="0"/>
              <w:keepLines/>
              <w:widowControl/>
              <w:suppressLineNumbers w:val="0"/>
              <w:ind w:left="0" w:leftChars="0" w:firstLine="0" w:firstLineChars="0"/>
              <w:jc w:val="both"/>
              <w:textAlignment w:val="center"/>
              <w:rPr>
                <w:rFonts w:hint="eastAsia" w:ascii="Times New Roman" w:hAnsi="Times New Roman" w:eastAsia="宋体" w:cs="Times New Roman"/>
                <w:kern w:val="2"/>
                <w:sz w:val="24"/>
                <w:szCs w:val="24"/>
                <w:highlight w:val="none"/>
                <w:lang w:val="en-US" w:eastAsia="zh-CN" w:bidi="ar-SA"/>
              </w:rPr>
            </w:pPr>
            <w:r>
              <w:rPr>
                <w:rFonts w:hint="eastAsia" w:eastAsia="宋体" w:cs="Times New Roman"/>
                <w:sz w:val="24"/>
                <w:szCs w:val="24"/>
                <w:highlight w:val="none"/>
              </w:rPr>
              <w:t>以电子材料、元器件、典型电子整机产品为重点，大力推进单晶硅、电极箔、锂电材料等生产工艺的改进。</w:t>
            </w:r>
          </w:p>
        </w:tc>
        <w:tc>
          <w:tcPr>
            <w:tcW w:w="654" w:type="pct"/>
            <w:vMerge w:val="restart"/>
            <w:shd w:val="clear" w:color="auto" w:fill="auto"/>
            <w:vAlign w:val="center"/>
          </w:tcPr>
          <w:p w14:paraId="10F08FAB">
            <w:pPr>
              <w:keepNext w:val="0"/>
              <w:keepLines/>
              <w:widowControl/>
              <w:suppressLineNumbers w:val="0"/>
              <w:ind w:left="0" w:leftChars="0" w:firstLine="0" w:firstLineChars="0"/>
              <w:jc w:val="center"/>
              <w:textAlignment w:val="center"/>
              <w:rPr>
                <w:rFonts w:hint="eastAsia" w:ascii="Times New Roman" w:hAnsi="Times New Roman" w:eastAsia="宋体" w:cs="Times New Roman"/>
                <w:kern w:val="2"/>
                <w:sz w:val="24"/>
                <w:szCs w:val="24"/>
                <w:highlight w:val="none"/>
                <w:lang w:val="en-US" w:eastAsia="zh-CN" w:bidi="ar-SA"/>
              </w:rPr>
            </w:pPr>
            <w:r>
              <w:rPr>
                <w:rFonts w:hint="eastAsia" w:eastAsia="宋体" w:cs="Times New Roman"/>
                <w:sz w:val="24"/>
                <w:szCs w:val="24"/>
                <w:highlight w:val="none"/>
                <w:lang w:eastAsia="zh-CN"/>
              </w:rPr>
              <w:t>经济发展局</w:t>
            </w:r>
            <w:r>
              <w:rPr>
                <w:rFonts w:hint="eastAsia" w:ascii="Times New Roman" w:hAnsi="Times New Roman" w:eastAsia="宋体" w:cs="Times New Roman"/>
                <w:sz w:val="24"/>
                <w:szCs w:val="24"/>
                <w:highlight w:val="none"/>
              </w:rPr>
              <w:t>、</w:t>
            </w:r>
            <w:r>
              <w:rPr>
                <w:rFonts w:hint="eastAsia" w:eastAsia="宋体" w:cs="Times New Roman"/>
                <w:sz w:val="24"/>
                <w:szCs w:val="24"/>
                <w:highlight w:val="none"/>
                <w:lang w:eastAsia="zh-CN"/>
              </w:rPr>
              <w:t>规划建设局</w:t>
            </w:r>
            <w:r>
              <w:rPr>
                <w:rFonts w:hint="eastAsia" w:ascii="Times New Roman" w:hAnsi="Times New Roman" w:eastAsia="宋体" w:cs="Times New Roman"/>
                <w:sz w:val="24"/>
                <w:szCs w:val="24"/>
                <w:highlight w:val="none"/>
              </w:rPr>
              <w:t>、十户滩新材料工业园区管理办公室</w:t>
            </w:r>
          </w:p>
        </w:tc>
      </w:tr>
      <w:tr w14:paraId="52F8C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8" w:type="pct"/>
            <w:vAlign w:val="center"/>
          </w:tcPr>
          <w:p w14:paraId="7B01815D">
            <w:pPr>
              <w:keepNext w:val="0"/>
              <w:keepLines/>
              <w:widowControl/>
              <w:numPr>
                <w:ilvl w:val="0"/>
                <w:numId w:val="1"/>
              </w:numPr>
              <w:suppressLineNumbers w:val="0"/>
              <w:tabs>
                <w:tab w:val="clear" w:pos="0"/>
              </w:tabs>
              <w:ind w:left="454" w:leftChars="0" w:hanging="454" w:firstLineChars="0"/>
              <w:jc w:val="center"/>
              <w:textAlignment w:val="center"/>
              <w:rPr>
                <w:rFonts w:hint="eastAsia" w:eastAsia="宋体" w:cs="Times New Roman"/>
                <w:kern w:val="2"/>
                <w:sz w:val="24"/>
                <w:szCs w:val="24"/>
                <w:highlight w:val="none"/>
                <w:lang w:val="en-US" w:eastAsia="zh-CN" w:bidi="ar-SA"/>
              </w:rPr>
            </w:pPr>
          </w:p>
        </w:tc>
        <w:tc>
          <w:tcPr>
            <w:tcW w:w="325" w:type="pct"/>
            <w:vMerge w:val="continue"/>
            <w:vAlign w:val="center"/>
          </w:tcPr>
          <w:p w14:paraId="68FE5743">
            <w:pPr>
              <w:pStyle w:val="35"/>
              <w:keepNext w:val="0"/>
              <w:keepLines/>
              <w:pageBreakBefore w:val="0"/>
              <w:widowControl/>
              <w:kinsoku/>
              <w:wordWrap/>
              <w:overflowPunct w:val="0"/>
              <w:topLinePunct w:val="0"/>
              <w:autoSpaceDE/>
              <w:autoSpaceDN/>
              <w:bidi w:val="0"/>
              <w:adjustRightInd/>
              <w:snapToGrid w:val="0"/>
              <w:ind w:firstLine="0" w:firstLineChars="0"/>
              <w:jc w:val="center"/>
              <w:textAlignment w:val="auto"/>
              <w:rPr>
                <w:rFonts w:hint="eastAsia" w:cs="Times New Roman"/>
                <w:highlight w:val="none"/>
                <w:lang w:val="en-US" w:eastAsia="zh-CN"/>
              </w:rPr>
            </w:pPr>
          </w:p>
        </w:tc>
        <w:tc>
          <w:tcPr>
            <w:tcW w:w="328" w:type="pct"/>
            <w:vMerge w:val="continue"/>
            <w:shd w:val="clear" w:color="auto" w:fill="auto"/>
            <w:vAlign w:val="center"/>
          </w:tcPr>
          <w:p w14:paraId="2D1C86B2">
            <w:pPr>
              <w:keepNext w:val="0"/>
              <w:keepLines/>
              <w:widowControl/>
              <w:suppressLineNumbers w:val="0"/>
              <w:ind w:left="0" w:leftChars="0" w:firstLine="0" w:firstLineChars="0"/>
              <w:jc w:val="center"/>
              <w:textAlignment w:val="center"/>
              <w:rPr>
                <w:rFonts w:hint="eastAsia" w:eastAsia="宋体" w:cs="Times New Roman"/>
                <w:sz w:val="24"/>
                <w:szCs w:val="24"/>
                <w:highlight w:val="none"/>
              </w:rPr>
            </w:pPr>
          </w:p>
        </w:tc>
        <w:tc>
          <w:tcPr>
            <w:tcW w:w="876" w:type="pct"/>
            <w:shd w:val="clear" w:color="auto" w:fill="auto"/>
            <w:vAlign w:val="center"/>
          </w:tcPr>
          <w:p w14:paraId="005CFF65">
            <w:pPr>
              <w:keepNext w:val="0"/>
              <w:keepLines/>
              <w:widowControl/>
              <w:suppressLineNumbers w:val="0"/>
              <w:ind w:left="0" w:leftChars="0" w:firstLine="0" w:firstLineChars="0"/>
              <w:jc w:val="center"/>
              <w:textAlignment w:val="center"/>
              <w:rPr>
                <w:rFonts w:hint="eastAsia" w:eastAsia="宋体" w:cs="Times New Roman"/>
                <w:kern w:val="2"/>
                <w:sz w:val="24"/>
                <w:szCs w:val="24"/>
                <w:highlight w:val="none"/>
                <w:lang w:val="en-US" w:eastAsia="zh-CN" w:bidi="ar-SA"/>
              </w:rPr>
            </w:pPr>
            <w:r>
              <w:rPr>
                <w:rFonts w:hint="eastAsia" w:eastAsia="宋体" w:cs="Times New Roman"/>
                <w:sz w:val="24"/>
                <w:szCs w:val="24"/>
                <w:highlight w:val="none"/>
              </w:rPr>
              <w:t>化工领域</w:t>
            </w:r>
          </w:p>
        </w:tc>
        <w:tc>
          <w:tcPr>
            <w:tcW w:w="2538" w:type="pct"/>
            <w:shd w:val="clear" w:color="auto" w:fill="auto"/>
            <w:vAlign w:val="center"/>
          </w:tcPr>
          <w:p w14:paraId="71F33FB4">
            <w:pPr>
              <w:keepNext w:val="0"/>
              <w:keepLines/>
              <w:widowControl/>
              <w:suppressLineNumbers w:val="0"/>
              <w:ind w:left="0" w:leftChars="0" w:firstLine="0" w:firstLineChars="0"/>
              <w:jc w:val="both"/>
              <w:textAlignment w:val="center"/>
              <w:rPr>
                <w:rFonts w:hint="default" w:eastAsia="宋体" w:cs="Times New Roman"/>
                <w:sz w:val="24"/>
                <w:szCs w:val="24"/>
                <w:highlight w:val="none"/>
                <w:lang w:val="en-US" w:eastAsia="zh-CN"/>
              </w:rPr>
            </w:pPr>
            <w:r>
              <w:rPr>
                <w:rFonts w:hint="eastAsia" w:eastAsia="宋体" w:cs="Times New Roman"/>
                <w:sz w:val="24"/>
                <w:szCs w:val="24"/>
                <w:highlight w:val="none"/>
              </w:rPr>
              <w:t>严格控制新增延迟焦化生产规模</w:t>
            </w:r>
            <w:r>
              <w:rPr>
                <w:rFonts w:hint="eastAsia" w:eastAsia="宋体" w:cs="Times New Roman"/>
                <w:sz w:val="24"/>
                <w:szCs w:val="24"/>
                <w:highlight w:val="none"/>
                <w:lang w:eastAsia="zh-CN"/>
              </w:rPr>
              <w:t>；</w:t>
            </w:r>
            <w:r>
              <w:rPr>
                <w:rFonts w:hint="eastAsia" w:eastAsia="宋体" w:cs="Times New Roman"/>
                <w:sz w:val="24"/>
                <w:szCs w:val="24"/>
                <w:highlight w:val="none"/>
              </w:rPr>
              <w:t>严控电石行业新增产能，重点发展绿色化工，提高低碳原料比重</w:t>
            </w:r>
            <w:r>
              <w:rPr>
                <w:rFonts w:hint="eastAsia" w:eastAsia="宋体" w:cs="Times New Roman"/>
                <w:sz w:val="24"/>
                <w:szCs w:val="24"/>
                <w:highlight w:val="none"/>
                <w:lang w:eastAsia="zh-CN"/>
              </w:rPr>
              <w:t>；</w:t>
            </w:r>
            <w:r>
              <w:rPr>
                <w:rFonts w:hint="eastAsia" w:eastAsia="宋体" w:cs="Times New Roman"/>
                <w:sz w:val="24"/>
                <w:szCs w:val="24"/>
                <w:highlight w:val="none"/>
              </w:rPr>
              <w:t>聚焦电石、烧碱、煤制乙二醇等关键领域、关键环节，积极推广先进节能、节水、节材技术和工艺，组织实施节能降碳改造示范项目</w:t>
            </w:r>
            <w:r>
              <w:rPr>
                <w:rFonts w:hint="eastAsia" w:eastAsia="宋体" w:cs="Times New Roman"/>
                <w:sz w:val="24"/>
                <w:szCs w:val="24"/>
                <w:highlight w:val="none"/>
                <w:lang w:val="en-US" w:eastAsia="zh-CN"/>
              </w:rPr>
              <w:t>。</w:t>
            </w:r>
          </w:p>
        </w:tc>
        <w:tc>
          <w:tcPr>
            <w:tcW w:w="654" w:type="pct"/>
            <w:vMerge w:val="continue"/>
            <w:shd w:val="clear" w:color="auto" w:fill="auto"/>
            <w:vAlign w:val="center"/>
          </w:tcPr>
          <w:p w14:paraId="336644B7">
            <w:pPr>
              <w:keepNext w:val="0"/>
              <w:keepLines/>
              <w:widowControl/>
              <w:suppressLineNumbers w:val="0"/>
              <w:ind w:left="0" w:leftChars="0" w:firstLine="0" w:firstLineChars="0"/>
              <w:jc w:val="center"/>
              <w:textAlignment w:val="center"/>
              <w:rPr>
                <w:rFonts w:hint="default" w:eastAsia="宋体" w:cs="Times New Roman"/>
                <w:sz w:val="24"/>
                <w:szCs w:val="24"/>
                <w:highlight w:val="none"/>
                <w:lang w:val="en-US" w:eastAsia="zh-CN"/>
              </w:rPr>
            </w:pPr>
          </w:p>
        </w:tc>
      </w:tr>
      <w:tr w14:paraId="4AEF8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8" w:type="pct"/>
            <w:vAlign w:val="center"/>
          </w:tcPr>
          <w:p w14:paraId="301C2A42">
            <w:pPr>
              <w:keepNext w:val="0"/>
              <w:keepLines/>
              <w:widowControl/>
              <w:numPr>
                <w:ilvl w:val="0"/>
                <w:numId w:val="1"/>
              </w:numPr>
              <w:suppressLineNumbers w:val="0"/>
              <w:tabs>
                <w:tab w:val="clear" w:pos="0"/>
              </w:tabs>
              <w:ind w:left="454" w:leftChars="0" w:hanging="454" w:firstLineChars="0"/>
              <w:jc w:val="center"/>
              <w:textAlignment w:val="center"/>
              <w:rPr>
                <w:rFonts w:hint="eastAsia" w:eastAsia="宋体" w:cs="Times New Roman"/>
                <w:kern w:val="2"/>
                <w:sz w:val="24"/>
                <w:szCs w:val="24"/>
                <w:highlight w:val="none"/>
                <w:lang w:val="en-US" w:eastAsia="zh-CN" w:bidi="ar-SA"/>
              </w:rPr>
            </w:pPr>
          </w:p>
        </w:tc>
        <w:tc>
          <w:tcPr>
            <w:tcW w:w="325" w:type="pct"/>
            <w:vMerge w:val="continue"/>
            <w:vAlign w:val="center"/>
          </w:tcPr>
          <w:p w14:paraId="570B3F50">
            <w:pPr>
              <w:pStyle w:val="35"/>
              <w:keepNext w:val="0"/>
              <w:keepLines/>
              <w:pageBreakBefore w:val="0"/>
              <w:widowControl/>
              <w:kinsoku/>
              <w:wordWrap/>
              <w:overflowPunct w:val="0"/>
              <w:topLinePunct w:val="0"/>
              <w:autoSpaceDE/>
              <w:autoSpaceDN/>
              <w:bidi w:val="0"/>
              <w:adjustRightInd/>
              <w:snapToGrid w:val="0"/>
              <w:ind w:firstLine="0" w:firstLineChars="0"/>
              <w:jc w:val="center"/>
              <w:textAlignment w:val="auto"/>
              <w:rPr>
                <w:rFonts w:hint="eastAsia" w:cs="Times New Roman"/>
                <w:highlight w:val="none"/>
                <w:lang w:val="en-US" w:eastAsia="zh-CN"/>
              </w:rPr>
            </w:pPr>
          </w:p>
        </w:tc>
        <w:tc>
          <w:tcPr>
            <w:tcW w:w="328" w:type="pct"/>
            <w:vMerge w:val="continue"/>
            <w:shd w:val="clear" w:color="auto" w:fill="auto"/>
            <w:vAlign w:val="center"/>
          </w:tcPr>
          <w:p w14:paraId="26255D5F">
            <w:pPr>
              <w:keepNext w:val="0"/>
              <w:keepLines/>
              <w:widowControl/>
              <w:suppressLineNumbers w:val="0"/>
              <w:ind w:left="0" w:leftChars="0" w:firstLine="0" w:firstLineChars="0"/>
              <w:jc w:val="center"/>
              <w:textAlignment w:val="center"/>
              <w:rPr>
                <w:rFonts w:hint="eastAsia" w:eastAsia="宋体" w:cs="Times New Roman"/>
                <w:sz w:val="24"/>
                <w:szCs w:val="24"/>
                <w:highlight w:val="none"/>
              </w:rPr>
            </w:pPr>
          </w:p>
        </w:tc>
        <w:tc>
          <w:tcPr>
            <w:tcW w:w="876" w:type="pct"/>
            <w:shd w:val="clear" w:color="auto" w:fill="auto"/>
            <w:vAlign w:val="center"/>
          </w:tcPr>
          <w:p w14:paraId="1C8C3DAF">
            <w:pPr>
              <w:keepNext w:val="0"/>
              <w:keepLines/>
              <w:widowControl/>
              <w:suppressLineNumbers w:val="0"/>
              <w:ind w:left="0" w:leftChars="0" w:firstLine="0" w:firstLineChars="0"/>
              <w:jc w:val="center"/>
              <w:textAlignment w:val="center"/>
              <w:rPr>
                <w:rFonts w:hint="eastAsia" w:eastAsia="宋体" w:cs="Times New Roman"/>
                <w:kern w:val="2"/>
                <w:sz w:val="24"/>
                <w:szCs w:val="24"/>
                <w:highlight w:val="none"/>
                <w:lang w:val="en-US" w:eastAsia="zh-CN" w:bidi="ar-SA"/>
              </w:rPr>
            </w:pPr>
            <w:r>
              <w:rPr>
                <w:rFonts w:hint="eastAsia" w:eastAsia="宋体" w:cs="Times New Roman"/>
                <w:sz w:val="24"/>
                <w:szCs w:val="24"/>
                <w:highlight w:val="none"/>
              </w:rPr>
              <w:t>有色金属领域</w:t>
            </w:r>
          </w:p>
        </w:tc>
        <w:tc>
          <w:tcPr>
            <w:tcW w:w="2538" w:type="pct"/>
            <w:shd w:val="clear" w:color="auto" w:fill="auto"/>
            <w:vAlign w:val="center"/>
          </w:tcPr>
          <w:p w14:paraId="4139C3FE">
            <w:pPr>
              <w:keepNext w:val="0"/>
              <w:keepLines/>
              <w:widowControl/>
              <w:suppressLineNumbers w:val="0"/>
              <w:ind w:left="0" w:leftChars="0" w:firstLine="0" w:firstLineChars="0"/>
              <w:jc w:val="both"/>
              <w:textAlignment w:val="center"/>
              <w:rPr>
                <w:rFonts w:hint="eastAsia" w:eastAsia="宋体" w:cs="Times New Roman"/>
                <w:sz w:val="24"/>
                <w:szCs w:val="24"/>
                <w:highlight w:val="none"/>
                <w:lang w:eastAsia="zh-CN"/>
              </w:rPr>
            </w:pPr>
            <w:r>
              <w:rPr>
                <w:rFonts w:hint="eastAsia" w:eastAsia="宋体" w:cs="Times New Roman"/>
                <w:sz w:val="24"/>
                <w:szCs w:val="24"/>
                <w:highlight w:val="none"/>
              </w:rPr>
              <w:t>以天山铝业为核心，重点推动电解铝新型稳流保温铝电解槽节能改造、电解槽结构优化与智能控制、铝电解槽能量流优化及余热回收等节能低碳技术改造</w:t>
            </w:r>
            <w:r>
              <w:rPr>
                <w:rFonts w:hint="eastAsia" w:eastAsia="宋体" w:cs="Times New Roman"/>
                <w:sz w:val="24"/>
                <w:szCs w:val="24"/>
                <w:highlight w:val="none"/>
                <w:lang w:eastAsia="zh-CN"/>
              </w:rPr>
              <w:t>；</w:t>
            </w:r>
            <w:r>
              <w:rPr>
                <w:rFonts w:hint="eastAsia" w:eastAsia="宋体" w:cs="Times New Roman"/>
                <w:sz w:val="24"/>
                <w:szCs w:val="24"/>
                <w:highlight w:val="none"/>
              </w:rPr>
              <w:t>持续优化产能布局，严格落实电解铝产能置换</w:t>
            </w:r>
            <w:r>
              <w:rPr>
                <w:rFonts w:hint="eastAsia" w:eastAsia="宋体" w:cs="Times New Roman"/>
                <w:sz w:val="24"/>
                <w:szCs w:val="24"/>
                <w:highlight w:val="none"/>
                <w:lang w:eastAsia="zh-CN"/>
              </w:rPr>
              <w:t>。</w:t>
            </w:r>
          </w:p>
        </w:tc>
        <w:tc>
          <w:tcPr>
            <w:tcW w:w="654" w:type="pct"/>
            <w:vMerge w:val="continue"/>
            <w:shd w:val="clear" w:color="auto" w:fill="auto"/>
            <w:vAlign w:val="center"/>
          </w:tcPr>
          <w:p w14:paraId="1E0EAE7F">
            <w:pPr>
              <w:keepNext w:val="0"/>
              <w:keepLines/>
              <w:widowControl/>
              <w:suppressLineNumbers w:val="0"/>
              <w:ind w:left="0" w:leftChars="0" w:firstLine="0" w:firstLineChars="0"/>
              <w:jc w:val="center"/>
              <w:textAlignment w:val="center"/>
              <w:rPr>
                <w:rFonts w:hint="eastAsia" w:eastAsia="宋体" w:cs="Times New Roman"/>
                <w:sz w:val="24"/>
                <w:szCs w:val="24"/>
                <w:highlight w:val="none"/>
              </w:rPr>
            </w:pPr>
          </w:p>
        </w:tc>
      </w:tr>
      <w:tr w14:paraId="294A2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8" w:type="pct"/>
            <w:vAlign w:val="center"/>
          </w:tcPr>
          <w:p w14:paraId="407C3494">
            <w:pPr>
              <w:keepNext w:val="0"/>
              <w:keepLines/>
              <w:widowControl/>
              <w:numPr>
                <w:ilvl w:val="0"/>
                <w:numId w:val="1"/>
              </w:numPr>
              <w:suppressLineNumbers w:val="0"/>
              <w:tabs>
                <w:tab w:val="clear" w:pos="0"/>
              </w:tabs>
              <w:ind w:left="454" w:leftChars="0" w:hanging="454" w:firstLineChars="0"/>
              <w:jc w:val="center"/>
              <w:textAlignment w:val="center"/>
              <w:rPr>
                <w:rFonts w:hint="eastAsia" w:eastAsia="宋体" w:cs="Times New Roman"/>
                <w:kern w:val="2"/>
                <w:sz w:val="24"/>
                <w:szCs w:val="24"/>
                <w:highlight w:val="none"/>
                <w:lang w:val="en-US" w:eastAsia="zh-CN" w:bidi="ar-SA"/>
              </w:rPr>
            </w:pPr>
          </w:p>
        </w:tc>
        <w:tc>
          <w:tcPr>
            <w:tcW w:w="325" w:type="pct"/>
            <w:vMerge w:val="continue"/>
            <w:vAlign w:val="center"/>
          </w:tcPr>
          <w:p w14:paraId="69C253B9">
            <w:pPr>
              <w:pStyle w:val="35"/>
              <w:keepNext w:val="0"/>
              <w:keepLines/>
              <w:pageBreakBefore w:val="0"/>
              <w:widowControl/>
              <w:kinsoku/>
              <w:wordWrap/>
              <w:overflowPunct w:val="0"/>
              <w:topLinePunct w:val="0"/>
              <w:autoSpaceDE/>
              <w:autoSpaceDN/>
              <w:bidi w:val="0"/>
              <w:adjustRightInd/>
              <w:snapToGrid w:val="0"/>
              <w:ind w:firstLine="0" w:firstLineChars="0"/>
              <w:jc w:val="center"/>
              <w:textAlignment w:val="auto"/>
              <w:rPr>
                <w:rFonts w:hint="eastAsia" w:cs="Times New Roman"/>
                <w:highlight w:val="none"/>
                <w:lang w:val="en-US" w:eastAsia="zh-CN"/>
              </w:rPr>
            </w:pPr>
          </w:p>
        </w:tc>
        <w:tc>
          <w:tcPr>
            <w:tcW w:w="328" w:type="pct"/>
            <w:vMerge w:val="continue"/>
            <w:shd w:val="clear" w:color="auto" w:fill="auto"/>
            <w:vAlign w:val="center"/>
          </w:tcPr>
          <w:p w14:paraId="43FE76C3">
            <w:pPr>
              <w:keepNext w:val="0"/>
              <w:keepLines/>
              <w:widowControl/>
              <w:suppressLineNumbers w:val="0"/>
              <w:ind w:left="0" w:leftChars="0" w:firstLine="0" w:firstLineChars="0"/>
              <w:jc w:val="center"/>
              <w:textAlignment w:val="center"/>
              <w:rPr>
                <w:rFonts w:hint="eastAsia" w:eastAsia="宋体" w:cs="Times New Roman"/>
                <w:sz w:val="24"/>
                <w:szCs w:val="24"/>
                <w:highlight w:val="none"/>
              </w:rPr>
            </w:pPr>
          </w:p>
        </w:tc>
        <w:tc>
          <w:tcPr>
            <w:tcW w:w="876" w:type="pct"/>
            <w:shd w:val="clear" w:color="auto" w:fill="auto"/>
            <w:vAlign w:val="center"/>
          </w:tcPr>
          <w:p w14:paraId="450ED38D">
            <w:pPr>
              <w:keepNext w:val="0"/>
              <w:keepLines/>
              <w:widowControl/>
              <w:suppressLineNumbers w:val="0"/>
              <w:ind w:left="0" w:leftChars="0" w:firstLine="0" w:firstLineChars="0"/>
              <w:jc w:val="center"/>
              <w:textAlignment w:val="center"/>
              <w:rPr>
                <w:rFonts w:hint="eastAsia" w:eastAsia="宋体" w:cs="Times New Roman"/>
                <w:kern w:val="2"/>
                <w:sz w:val="24"/>
                <w:szCs w:val="24"/>
                <w:highlight w:val="none"/>
                <w:lang w:val="en-US" w:eastAsia="zh-CN" w:bidi="ar-SA"/>
              </w:rPr>
            </w:pPr>
            <w:r>
              <w:rPr>
                <w:rFonts w:hint="eastAsia" w:eastAsia="宋体" w:cs="Times New Roman"/>
                <w:sz w:val="24"/>
                <w:szCs w:val="24"/>
                <w:highlight w:val="none"/>
              </w:rPr>
              <w:t>建材领域</w:t>
            </w:r>
          </w:p>
        </w:tc>
        <w:tc>
          <w:tcPr>
            <w:tcW w:w="2538" w:type="pct"/>
            <w:shd w:val="clear" w:color="auto" w:fill="auto"/>
            <w:vAlign w:val="center"/>
          </w:tcPr>
          <w:p w14:paraId="3B016FC6">
            <w:pPr>
              <w:keepNext w:val="0"/>
              <w:keepLines/>
              <w:widowControl/>
              <w:suppressLineNumbers w:val="0"/>
              <w:ind w:left="0" w:leftChars="0" w:firstLine="0" w:firstLineChars="0"/>
              <w:jc w:val="both"/>
              <w:textAlignment w:val="center"/>
              <w:rPr>
                <w:rFonts w:hint="eastAsia" w:eastAsia="宋体" w:cs="Times New Roman"/>
                <w:sz w:val="24"/>
                <w:szCs w:val="24"/>
                <w:highlight w:val="none"/>
                <w:lang w:eastAsia="zh-CN"/>
              </w:rPr>
            </w:pPr>
            <w:r>
              <w:rPr>
                <w:rFonts w:hint="eastAsia" w:eastAsia="宋体" w:cs="Times New Roman"/>
                <w:sz w:val="24"/>
                <w:szCs w:val="24"/>
                <w:highlight w:val="none"/>
                <w:lang w:val="en-US" w:eastAsia="zh-CN"/>
              </w:rPr>
              <w:t>推动</w:t>
            </w:r>
            <w:r>
              <w:rPr>
                <w:rFonts w:hint="eastAsia" w:eastAsia="宋体" w:cs="Times New Roman"/>
                <w:sz w:val="24"/>
                <w:szCs w:val="24"/>
                <w:highlight w:val="none"/>
              </w:rPr>
              <w:t>现有水泥企业持续实施窑炉改造、余热余压利用、电机系统节能、能量系统优化、除尘系统改造等技术改造措施，保持现有水泥熟料单位产品综合能耗能效标杆水平</w:t>
            </w:r>
            <w:r>
              <w:rPr>
                <w:rFonts w:hint="eastAsia" w:eastAsia="宋体" w:cs="Times New Roman"/>
                <w:sz w:val="24"/>
                <w:szCs w:val="24"/>
                <w:highlight w:val="none"/>
                <w:lang w:eastAsia="zh-CN"/>
              </w:rPr>
              <w:t>。</w:t>
            </w:r>
          </w:p>
        </w:tc>
        <w:tc>
          <w:tcPr>
            <w:tcW w:w="654" w:type="pct"/>
            <w:vMerge w:val="continue"/>
            <w:shd w:val="clear" w:color="auto" w:fill="auto"/>
            <w:vAlign w:val="center"/>
          </w:tcPr>
          <w:p w14:paraId="25061C72">
            <w:pPr>
              <w:keepNext w:val="0"/>
              <w:keepLines/>
              <w:widowControl/>
              <w:suppressLineNumbers w:val="0"/>
              <w:ind w:left="0" w:leftChars="0" w:firstLine="0" w:firstLineChars="0"/>
              <w:jc w:val="center"/>
              <w:textAlignment w:val="center"/>
              <w:rPr>
                <w:rFonts w:hint="eastAsia" w:eastAsia="宋体" w:cs="Times New Roman"/>
                <w:sz w:val="24"/>
                <w:szCs w:val="24"/>
                <w:highlight w:val="none"/>
              </w:rPr>
            </w:pPr>
          </w:p>
        </w:tc>
      </w:tr>
      <w:tr w14:paraId="2422C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8" w:type="pct"/>
            <w:vAlign w:val="center"/>
          </w:tcPr>
          <w:p w14:paraId="2639A2A7">
            <w:pPr>
              <w:keepNext w:val="0"/>
              <w:keepLines/>
              <w:widowControl/>
              <w:numPr>
                <w:ilvl w:val="0"/>
                <w:numId w:val="1"/>
              </w:numPr>
              <w:suppressLineNumbers w:val="0"/>
              <w:tabs>
                <w:tab w:val="clear" w:pos="0"/>
              </w:tabs>
              <w:ind w:left="454" w:leftChars="0" w:hanging="454" w:firstLineChars="0"/>
              <w:jc w:val="center"/>
              <w:textAlignment w:val="center"/>
              <w:rPr>
                <w:rFonts w:hint="eastAsia" w:eastAsia="宋体" w:cs="Times New Roman"/>
                <w:kern w:val="2"/>
                <w:sz w:val="24"/>
                <w:szCs w:val="24"/>
                <w:highlight w:val="none"/>
                <w:lang w:val="en-US" w:eastAsia="zh-CN" w:bidi="ar-SA"/>
              </w:rPr>
            </w:pPr>
          </w:p>
        </w:tc>
        <w:tc>
          <w:tcPr>
            <w:tcW w:w="325" w:type="pct"/>
            <w:vMerge w:val="continue"/>
            <w:vAlign w:val="center"/>
          </w:tcPr>
          <w:p w14:paraId="00E7316C">
            <w:pPr>
              <w:pStyle w:val="35"/>
              <w:keepNext w:val="0"/>
              <w:keepLines/>
              <w:pageBreakBefore w:val="0"/>
              <w:widowControl/>
              <w:kinsoku/>
              <w:wordWrap/>
              <w:overflowPunct w:val="0"/>
              <w:topLinePunct w:val="0"/>
              <w:autoSpaceDE/>
              <w:autoSpaceDN/>
              <w:bidi w:val="0"/>
              <w:adjustRightInd/>
              <w:snapToGrid w:val="0"/>
              <w:ind w:firstLine="0" w:firstLineChars="0"/>
              <w:jc w:val="center"/>
              <w:textAlignment w:val="auto"/>
              <w:rPr>
                <w:rFonts w:hint="eastAsia" w:cs="Times New Roman"/>
                <w:highlight w:val="none"/>
                <w:lang w:val="en-US" w:eastAsia="zh-CN"/>
              </w:rPr>
            </w:pPr>
          </w:p>
        </w:tc>
        <w:tc>
          <w:tcPr>
            <w:tcW w:w="328" w:type="pct"/>
            <w:vMerge w:val="restart"/>
            <w:shd w:val="clear" w:color="auto" w:fill="auto"/>
            <w:vAlign w:val="center"/>
          </w:tcPr>
          <w:p w14:paraId="6DBD72D7">
            <w:pPr>
              <w:keepNext w:val="0"/>
              <w:keepLines/>
              <w:widowControl/>
              <w:suppressLineNumbers w:val="0"/>
              <w:ind w:left="0" w:leftChars="0" w:firstLine="0" w:firstLineChars="0"/>
              <w:jc w:val="center"/>
              <w:textAlignment w:val="center"/>
              <w:rPr>
                <w:rFonts w:hint="eastAsia" w:eastAsia="宋体" w:cs="Times New Roman"/>
                <w:sz w:val="24"/>
                <w:szCs w:val="24"/>
                <w:highlight w:val="none"/>
              </w:rPr>
            </w:pPr>
            <w:r>
              <w:rPr>
                <w:rFonts w:hint="eastAsia" w:eastAsia="宋体" w:cs="Times New Roman"/>
                <w:sz w:val="24"/>
                <w:szCs w:val="24"/>
                <w:highlight w:val="none"/>
              </w:rPr>
              <w:t>加快传统产业转型升级</w:t>
            </w:r>
          </w:p>
        </w:tc>
        <w:tc>
          <w:tcPr>
            <w:tcW w:w="876" w:type="pct"/>
            <w:shd w:val="clear" w:color="auto" w:fill="auto"/>
            <w:vAlign w:val="center"/>
          </w:tcPr>
          <w:p w14:paraId="4EF821AD">
            <w:pPr>
              <w:keepNext w:val="0"/>
              <w:keepLines/>
              <w:widowControl/>
              <w:suppressLineNumbers w:val="0"/>
              <w:ind w:left="0" w:leftChars="0" w:firstLine="0" w:firstLineChars="0"/>
              <w:jc w:val="center"/>
              <w:textAlignment w:val="center"/>
              <w:rPr>
                <w:rFonts w:hint="eastAsia" w:eastAsia="宋体" w:cs="Times New Roman"/>
                <w:kern w:val="2"/>
                <w:sz w:val="24"/>
                <w:szCs w:val="24"/>
                <w:highlight w:val="none"/>
                <w:lang w:val="en-US" w:eastAsia="zh-CN" w:bidi="ar-SA"/>
              </w:rPr>
            </w:pPr>
            <w:r>
              <w:rPr>
                <w:rFonts w:hint="eastAsia" w:eastAsia="宋体" w:cs="Times New Roman"/>
                <w:sz w:val="24"/>
                <w:szCs w:val="24"/>
                <w:highlight w:val="none"/>
              </w:rPr>
              <w:t>有色金属产业</w:t>
            </w:r>
          </w:p>
        </w:tc>
        <w:tc>
          <w:tcPr>
            <w:tcW w:w="2538" w:type="pct"/>
            <w:shd w:val="clear" w:color="auto" w:fill="auto"/>
            <w:vAlign w:val="center"/>
          </w:tcPr>
          <w:p w14:paraId="487F60BF">
            <w:pPr>
              <w:keepNext w:val="0"/>
              <w:keepLines/>
              <w:widowControl/>
              <w:suppressLineNumbers w:val="0"/>
              <w:ind w:left="0" w:leftChars="0" w:firstLine="0" w:firstLineChars="0"/>
              <w:jc w:val="both"/>
              <w:textAlignment w:val="center"/>
              <w:rPr>
                <w:rFonts w:hint="eastAsia" w:eastAsia="宋体" w:cs="Times New Roman"/>
                <w:sz w:val="24"/>
                <w:szCs w:val="24"/>
                <w:highlight w:val="none"/>
                <w:lang w:eastAsia="zh-CN"/>
              </w:rPr>
            </w:pPr>
            <w:r>
              <w:rPr>
                <w:rFonts w:hint="eastAsia" w:eastAsia="宋体" w:cs="Times New Roman"/>
                <w:sz w:val="24"/>
                <w:szCs w:val="24"/>
                <w:highlight w:val="none"/>
              </w:rPr>
              <w:t>以高端铝型材和压铸件、铝镁合金、铝锂合金、硅铝合金等特种铝合金、泡沫铝、铝板带、铝塑膜、电池箔等新材料为重点，大力延伸铝下游精深加工产业链，发展高纯铝、电子铝箔、铝合金、铝基新材料等产品</w:t>
            </w:r>
            <w:r>
              <w:rPr>
                <w:rFonts w:hint="eastAsia" w:eastAsia="宋体" w:cs="Times New Roman"/>
                <w:sz w:val="24"/>
                <w:szCs w:val="24"/>
                <w:highlight w:val="none"/>
                <w:lang w:eastAsia="zh-CN"/>
              </w:rPr>
              <w:t>。</w:t>
            </w:r>
          </w:p>
        </w:tc>
        <w:tc>
          <w:tcPr>
            <w:tcW w:w="654" w:type="pct"/>
            <w:vMerge w:val="restart"/>
            <w:shd w:val="clear" w:color="auto" w:fill="auto"/>
            <w:vAlign w:val="center"/>
          </w:tcPr>
          <w:p w14:paraId="2F21F231">
            <w:pPr>
              <w:keepNext w:val="0"/>
              <w:keepLines/>
              <w:widowControl/>
              <w:suppressLineNumbers w:val="0"/>
              <w:ind w:left="0" w:leftChars="0" w:firstLine="0" w:firstLineChars="0"/>
              <w:jc w:val="center"/>
              <w:textAlignment w:val="center"/>
              <w:rPr>
                <w:rFonts w:hint="eastAsia" w:eastAsia="宋体" w:cs="Times New Roman"/>
                <w:sz w:val="24"/>
                <w:szCs w:val="24"/>
                <w:highlight w:val="none"/>
              </w:rPr>
            </w:pPr>
            <w:r>
              <w:rPr>
                <w:rFonts w:hint="eastAsia" w:eastAsia="宋体" w:cs="Times New Roman"/>
                <w:sz w:val="24"/>
                <w:szCs w:val="24"/>
                <w:highlight w:val="none"/>
                <w:lang w:eastAsia="zh-CN"/>
              </w:rPr>
              <w:t>经济发展局</w:t>
            </w:r>
            <w:r>
              <w:rPr>
                <w:rFonts w:hint="eastAsia" w:ascii="Times New Roman" w:hAnsi="Times New Roman" w:eastAsia="宋体" w:cs="Times New Roman"/>
                <w:sz w:val="24"/>
                <w:szCs w:val="24"/>
                <w:highlight w:val="none"/>
              </w:rPr>
              <w:t>、</w:t>
            </w:r>
            <w:r>
              <w:rPr>
                <w:rFonts w:hint="eastAsia" w:eastAsia="宋体" w:cs="Times New Roman"/>
                <w:sz w:val="24"/>
                <w:szCs w:val="24"/>
                <w:highlight w:val="none"/>
                <w:lang w:eastAsia="zh-CN"/>
              </w:rPr>
              <w:t>规划建设局</w:t>
            </w:r>
            <w:r>
              <w:rPr>
                <w:rFonts w:hint="eastAsia" w:ascii="Times New Roman" w:hAnsi="Times New Roman" w:eastAsia="宋体" w:cs="Times New Roman"/>
                <w:sz w:val="24"/>
                <w:szCs w:val="24"/>
                <w:highlight w:val="none"/>
              </w:rPr>
              <w:t>、十户滩新材料工业园区管理办公室</w:t>
            </w:r>
          </w:p>
        </w:tc>
      </w:tr>
      <w:tr w14:paraId="3BDB5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8" w:type="pct"/>
            <w:vAlign w:val="center"/>
          </w:tcPr>
          <w:p w14:paraId="3BDA2CD7">
            <w:pPr>
              <w:keepNext w:val="0"/>
              <w:keepLines/>
              <w:widowControl/>
              <w:numPr>
                <w:ilvl w:val="0"/>
                <w:numId w:val="1"/>
              </w:numPr>
              <w:suppressLineNumbers w:val="0"/>
              <w:tabs>
                <w:tab w:val="clear" w:pos="0"/>
              </w:tabs>
              <w:ind w:left="454" w:leftChars="0" w:hanging="454" w:firstLineChars="0"/>
              <w:jc w:val="center"/>
              <w:textAlignment w:val="center"/>
              <w:rPr>
                <w:rFonts w:hint="eastAsia" w:eastAsia="宋体" w:cs="Times New Roman"/>
                <w:kern w:val="2"/>
                <w:sz w:val="24"/>
                <w:szCs w:val="24"/>
                <w:highlight w:val="none"/>
                <w:lang w:val="en-US" w:eastAsia="zh-CN" w:bidi="ar-SA"/>
              </w:rPr>
            </w:pPr>
          </w:p>
        </w:tc>
        <w:tc>
          <w:tcPr>
            <w:tcW w:w="325" w:type="pct"/>
            <w:vMerge w:val="continue"/>
            <w:vAlign w:val="center"/>
          </w:tcPr>
          <w:p w14:paraId="113A342E">
            <w:pPr>
              <w:pStyle w:val="35"/>
              <w:keepNext w:val="0"/>
              <w:keepLines/>
              <w:pageBreakBefore w:val="0"/>
              <w:widowControl/>
              <w:kinsoku/>
              <w:wordWrap/>
              <w:overflowPunct w:val="0"/>
              <w:topLinePunct w:val="0"/>
              <w:autoSpaceDE/>
              <w:autoSpaceDN/>
              <w:bidi w:val="0"/>
              <w:adjustRightInd/>
              <w:snapToGrid w:val="0"/>
              <w:ind w:firstLine="0" w:firstLineChars="0"/>
              <w:jc w:val="center"/>
              <w:textAlignment w:val="auto"/>
              <w:rPr>
                <w:rFonts w:hint="eastAsia" w:cs="Times New Roman"/>
                <w:highlight w:val="none"/>
                <w:lang w:val="en-US" w:eastAsia="zh-CN"/>
              </w:rPr>
            </w:pPr>
          </w:p>
        </w:tc>
        <w:tc>
          <w:tcPr>
            <w:tcW w:w="328" w:type="pct"/>
            <w:vMerge w:val="continue"/>
            <w:shd w:val="clear" w:color="auto" w:fill="auto"/>
            <w:vAlign w:val="center"/>
          </w:tcPr>
          <w:p w14:paraId="4852625A">
            <w:pPr>
              <w:keepNext w:val="0"/>
              <w:keepLines/>
              <w:widowControl/>
              <w:suppressLineNumbers w:val="0"/>
              <w:ind w:left="0" w:leftChars="0" w:firstLine="0" w:firstLineChars="0"/>
              <w:jc w:val="center"/>
              <w:textAlignment w:val="center"/>
              <w:rPr>
                <w:rFonts w:hint="eastAsia" w:eastAsia="宋体" w:cs="Times New Roman"/>
                <w:sz w:val="24"/>
                <w:szCs w:val="24"/>
                <w:highlight w:val="none"/>
              </w:rPr>
            </w:pPr>
          </w:p>
        </w:tc>
        <w:tc>
          <w:tcPr>
            <w:tcW w:w="876" w:type="pct"/>
            <w:shd w:val="clear" w:color="auto" w:fill="auto"/>
            <w:vAlign w:val="center"/>
          </w:tcPr>
          <w:p w14:paraId="70509050">
            <w:pPr>
              <w:keepNext w:val="0"/>
              <w:keepLines/>
              <w:widowControl/>
              <w:suppressLineNumbers w:val="0"/>
              <w:ind w:left="0" w:leftChars="0" w:firstLine="0" w:firstLineChars="0"/>
              <w:jc w:val="center"/>
              <w:textAlignment w:val="center"/>
              <w:rPr>
                <w:rFonts w:hint="default" w:eastAsia="宋体" w:cs="Times New Roman"/>
                <w:kern w:val="2"/>
                <w:sz w:val="24"/>
                <w:szCs w:val="24"/>
                <w:highlight w:val="none"/>
                <w:lang w:val="en-US" w:eastAsia="zh-CN" w:bidi="ar-SA"/>
              </w:rPr>
            </w:pPr>
            <w:r>
              <w:rPr>
                <w:rFonts w:hint="eastAsia" w:eastAsia="宋体" w:cs="Times New Roman"/>
                <w:kern w:val="2"/>
                <w:sz w:val="24"/>
                <w:szCs w:val="24"/>
                <w:highlight w:val="none"/>
                <w:lang w:val="en-US" w:eastAsia="zh-CN" w:bidi="ar-SA"/>
              </w:rPr>
              <w:t>化工产业</w:t>
            </w:r>
          </w:p>
        </w:tc>
        <w:tc>
          <w:tcPr>
            <w:tcW w:w="2538" w:type="pct"/>
            <w:shd w:val="clear" w:color="auto" w:fill="auto"/>
            <w:vAlign w:val="center"/>
          </w:tcPr>
          <w:p w14:paraId="0803F96F">
            <w:pPr>
              <w:keepNext w:val="0"/>
              <w:keepLines/>
              <w:widowControl/>
              <w:suppressLineNumbers w:val="0"/>
              <w:ind w:left="0" w:leftChars="0" w:firstLine="0" w:firstLineChars="0"/>
              <w:jc w:val="both"/>
              <w:textAlignment w:val="center"/>
              <w:rPr>
                <w:rFonts w:hint="eastAsia" w:eastAsia="宋体" w:cs="Times New Roman"/>
                <w:sz w:val="24"/>
                <w:szCs w:val="24"/>
                <w:highlight w:val="none"/>
                <w:lang w:eastAsia="zh-CN"/>
              </w:rPr>
            </w:pPr>
            <w:r>
              <w:rPr>
                <w:rFonts w:hint="eastAsia" w:eastAsia="宋体" w:cs="Times New Roman"/>
                <w:sz w:val="24"/>
                <w:szCs w:val="24"/>
                <w:highlight w:val="none"/>
              </w:rPr>
              <w:t>在氯碱化工领域大力拓展下游高聚合度PVC、改性PVC、氯化PVC（CPVC）和合金PVC等高附加值产品，在精细化工领域着力培育高端聚烯烃、电子及化学品、草酸酯系列产品、生物降解材料等精细化工产业，在合成树脂领域做精做细醇基化工产业链</w:t>
            </w:r>
            <w:r>
              <w:rPr>
                <w:rFonts w:hint="eastAsia" w:eastAsia="宋体" w:cs="Times New Roman"/>
                <w:sz w:val="24"/>
                <w:szCs w:val="24"/>
                <w:highlight w:val="none"/>
                <w:lang w:eastAsia="zh-CN"/>
              </w:rPr>
              <w:t>。</w:t>
            </w:r>
          </w:p>
        </w:tc>
        <w:tc>
          <w:tcPr>
            <w:tcW w:w="654" w:type="pct"/>
            <w:vMerge w:val="continue"/>
            <w:shd w:val="clear" w:color="auto" w:fill="auto"/>
            <w:vAlign w:val="center"/>
          </w:tcPr>
          <w:p w14:paraId="5F1349B8">
            <w:pPr>
              <w:keepNext w:val="0"/>
              <w:keepLines/>
              <w:widowControl/>
              <w:suppressLineNumbers w:val="0"/>
              <w:ind w:left="0" w:leftChars="0" w:firstLine="0" w:firstLineChars="0"/>
              <w:jc w:val="center"/>
              <w:textAlignment w:val="center"/>
              <w:rPr>
                <w:rFonts w:hint="eastAsia" w:eastAsia="宋体" w:cs="Times New Roman"/>
                <w:sz w:val="24"/>
                <w:szCs w:val="24"/>
                <w:highlight w:val="none"/>
              </w:rPr>
            </w:pPr>
          </w:p>
        </w:tc>
      </w:tr>
      <w:tr w14:paraId="30ACE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8" w:type="pct"/>
            <w:vAlign w:val="center"/>
          </w:tcPr>
          <w:p w14:paraId="4F186911">
            <w:pPr>
              <w:keepNext w:val="0"/>
              <w:keepLines/>
              <w:widowControl/>
              <w:numPr>
                <w:ilvl w:val="0"/>
                <w:numId w:val="1"/>
              </w:numPr>
              <w:suppressLineNumbers w:val="0"/>
              <w:tabs>
                <w:tab w:val="clear" w:pos="0"/>
              </w:tabs>
              <w:ind w:left="454" w:leftChars="0" w:hanging="454" w:firstLineChars="0"/>
              <w:jc w:val="center"/>
              <w:textAlignment w:val="center"/>
              <w:rPr>
                <w:rFonts w:hint="eastAsia" w:eastAsia="宋体" w:cs="Times New Roman"/>
                <w:kern w:val="2"/>
                <w:sz w:val="24"/>
                <w:szCs w:val="24"/>
                <w:highlight w:val="none"/>
                <w:lang w:val="en-US" w:eastAsia="zh-CN" w:bidi="ar-SA"/>
              </w:rPr>
            </w:pPr>
          </w:p>
        </w:tc>
        <w:tc>
          <w:tcPr>
            <w:tcW w:w="325" w:type="pct"/>
            <w:vMerge w:val="continue"/>
            <w:vAlign w:val="center"/>
          </w:tcPr>
          <w:p w14:paraId="18B1662D">
            <w:pPr>
              <w:pStyle w:val="35"/>
              <w:keepNext w:val="0"/>
              <w:keepLines/>
              <w:pageBreakBefore w:val="0"/>
              <w:widowControl/>
              <w:kinsoku/>
              <w:wordWrap/>
              <w:overflowPunct w:val="0"/>
              <w:topLinePunct w:val="0"/>
              <w:autoSpaceDE/>
              <w:autoSpaceDN/>
              <w:bidi w:val="0"/>
              <w:adjustRightInd/>
              <w:snapToGrid w:val="0"/>
              <w:ind w:firstLine="0" w:firstLineChars="0"/>
              <w:jc w:val="center"/>
              <w:textAlignment w:val="auto"/>
              <w:rPr>
                <w:rFonts w:hint="eastAsia" w:cs="Times New Roman"/>
                <w:highlight w:val="none"/>
                <w:lang w:val="en-US" w:eastAsia="zh-CN"/>
              </w:rPr>
            </w:pPr>
          </w:p>
        </w:tc>
        <w:tc>
          <w:tcPr>
            <w:tcW w:w="328" w:type="pct"/>
            <w:vMerge w:val="continue"/>
            <w:shd w:val="clear" w:color="auto" w:fill="auto"/>
            <w:vAlign w:val="center"/>
          </w:tcPr>
          <w:p w14:paraId="23770A8E">
            <w:pPr>
              <w:keepNext w:val="0"/>
              <w:keepLines/>
              <w:widowControl/>
              <w:suppressLineNumbers w:val="0"/>
              <w:ind w:left="0" w:leftChars="0" w:firstLine="0" w:firstLineChars="0"/>
              <w:jc w:val="center"/>
              <w:textAlignment w:val="center"/>
              <w:rPr>
                <w:rFonts w:hint="eastAsia" w:eastAsia="宋体" w:cs="Times New Roman"/>
                <w:sz w:val="24"/>
                <w:szCs w:val="24"/>
                <w:highlight w:val="none"/>
              </w:rPr>
            </w:pPr>
          </w:p>
        </w:tc>
        <w:tc>
          <w:tcPr>
            <w:tcW w:w="876" w:type="pct"/>
            <w:shd w:val="clear" w:color="auto" w:fill="auto"/>
            <w:vAlign w:val="center"/>
          </w:tcPr>
          <w:p w14:paraId="06BEA2D3">
            <w:pPr>
              <w:keepNext w:val="0"/>
              <w:keepLines/>
              <w:widowControl/>
              <w:suppressLineNumbers w:val="0"/>
              <w:ind w:left="0" w:leftChars="0" w:firstLine="0" w:firstLineChars="0"/>
              <w:jc w:val="center"/>
              <w:textAlignment w:val="center"/>
              <w:rPr>
                <w:rFonts w:hint="eastAsia" w:eastAsia="宋体" w:cs="Times New Roman"/>
                <w:kern w:val="2"/>
                <w:sz w:val="24"/>
                <w:szCs w:val="24"/>
                <w:highlight w:val="none"/>
                <w:lang w:val="en-US" w:eastAsia="zh-CN" w:bidi="ar-SA"/>
              </w:rPr>
            </w:pPr>
            <w:r>
              <w:rPr>
                <w:rFonts w:hint="eastAsia" w:eastAsia="宋体" w:cs="Times New Roman"/>
                <w:sz w:val="24"/>
                <w:szCs w:val="24"/>
                <w:highlight w:val="none"/>
              </w:rPr>
              <w:t>非金属新材料产业</w:t>
            </w:r>
          </w:p>
        </w:tc>
        <w:tc>
          <w:tcPr>
            <w:tcW w:w="2538" w:type="pct"/>
            <w:shd w:val="clear" w:color="auto" w:fill="auto"/>
            <w:vAlign w:val="center"/>
          </w:tcPr>
          <w:p w14:paraId="4FF5FFC6">
            <w:pPr>
              <w:keepNext w:val="0"/>
              <w:keepLines/>
              <w:widowControl/>
              <w:suppressLineNumbers w:val="0"/>
              <w:ind w:left="0" w:leftChars="0" w:firstLine="0" w:firstLineChars="0"/>
              <w:jc w:val="both"/>
              <w:textAlignment w:val="center"/>
              <w:rPr>
                <w:rFonts w:hint="eastAsia" w:eastAsia="宋体" w:cs="Times New Roman"/>
                <w:sz w:val="24"/>
                <w:szCs w:val="24"/>
                <w:highlight w:val="none"/>
                <w:lang w:eastAsia="zh-CN"/>
              </w:rPr>
            </w:pPr>
            <w:r>
              <w:rPr>
                <w:rFonts w:hint="eastAsia" w:eastAsia="宋体" w:cs="Times New Roman"/>
                <w:sz w:val="24"/>
                <w:szCs w:val="24"/>
                <w:highlight w:val="none"/>
              </w:rPr>
              <w:t>重点发展电子级多晶硅、太阳能单晶硅、光伏背板、光伏玻璃等新材料，推动硅光伏、硅电子、硅化工、硅合金等硅基下游产业发展</w:t>
            </w:r>
            <w:r>
              <w:rPr>
                <w:rFonts w:hint="eastAsia" w:eastAsia="宋体" w:cs="Times New Roman"/>
                <w:sz w:val="24"/>
                <w:szCs w:val="24"/>
                <w:highlight w:val="none"/>
                <w:lang w:eastAsia="zh-CN"/>
              </w:rPr>
              <w:t>；</w:t>
            </w:r>
            <w:r>
              <w:rPr>
                <w:rFonts w:hint="eastAsia" w:eastAsia="宋体" w:cs="Times New Roman"/>
                <w:sz w:val="24"/>
                <w:szCs w:val="24"/>
                <w:highlight w:val="none"/>
              </w:rPr>
              <w:t>推进高端有机硅产品研发，优先发展改性硅橡胶、高端硅树脂、硅氧烷等深加工项目</w:t>
            </w:r>
            <w:r>
              <w:rPr>
                <w:rFonts w:hint="eastAsia" w:eastAsia="宋体" w:cs="Times New Roman"/>
                <w:sz w:val="24"/>
                <w:szCs w:val="24"/>
                <w:highlight w:val="none"/>
                <w:lang w:eastAsia="zh-CN"/>
              </w:rPr>
              <w:t>。</w:t>
            </w:r>
          </w:p>
        </w:tc>
        <w:tc>
          <w:tcPr>
            <w:tcW w:w="654" w:type="pct"/>
            <w:vMerge w:val="continue"/>
            <w:shd w:val="clear" w:color="auto" w:fill="auto"/>
            <w:vAlign w:val="center"/>
          </w:tcPr>
          <w:p w14:paraId="1FF5402A">
            <w:pPr>
              <w:keepNext w:val="0"/>
              <w:keepLines/>
              <w:widowControl/>
              <w:suppressLineNumbers w:val="0"/>
              <w:ind w:left="0" w:leftChars="0" w:firstLine="0" w:firstLineChars="0"/>
              <w:jc w:val="center"/>
              <w:textAlignment w:val="center"/>
              <w:rPr>
                <w:rFonts w:hint="eastAsia" w:eastAsia="宋体" w:cs="Times New Roman"/>
                <w:sz w:val="24"/>
                <w:szCs w:val="24"/>
                <w:highlight w:val="none"/>
              </w:rPr>
            </w:pPr>
          </w:p>
        </w:tc>
      </w:tr>
      <w:tr w14:paraId="4A82D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8" w:type="pct"/>
            <w:vAlign w:val="center"/>
          </w:tcPr>
          <w:p w14:paraId="459D5609">
            <w:pPr>
              <w:keepNext w:val="0"/>
              <w:keepLines/>
              <w:widowControl/>
              <w:numPr>
                <w:ilvl w:val="0"/>
                <w:numId w:val="1"/>
              </w:numPr>
              <w:suppressLineNumbers w:val="0"/>
              <w:tabs>
                <w:tab w:val="clear" w:pos="0"/>
              </w:tabs>
              <w:ind w:left="454" w:leftChars="0" w:hanging="454" w:firstLineChars="0"/>
              <w:jc w:val="center"/>
              <w:textAlignment w:val="center"/>
              <w:rPr>
                <w:rFonts w:hint="eastAsia" w:eastAsia="宋体" w:cs="Times New Roman"/>
                <w:kern w:val="2"/>
                <w:sz w:val="24"/>
                <w:szCs w:val="24"/>
                <w:highlight w:val="none"/>
                <w:lang w:val="en-US" w:eastAsia="zh-CN" w:bidi="ar-SA"/>
              </w:rPr>
            </w:pPr>
          </w:p>
        </w:tc>
        <w:tc>
          <w:tcPr>
            <w:tcW w:w="325" w:type="pct"/>
            <w:vMerge w:val="continue"/>
            <w:vAlign w:val="center"/>
          </w:tcPr>
          <w:p w14:paraId="6C6305E4">
            <w:pPr>
              <w:pStyle w:val="35"/>
              <w:keepNext w:val="0"/>
              <w:keepLines/>
              <w:pageBreakBefore w:val="0"/>
              <w:widowControl/>
              <w:kinsoku/>
              <w:wordWrap/>
              <w:overflowPunct w:val="0"/>
              <w:topLinePunct w:val="0"/>
              <w:autoSpaceDE/>
              <w:autoSpaceDN/>
              <w:bidi w:val="0"/>
              <w:adjustRightInd/>
              <w:snapToGrid w:val="0"/>
              <w:ind w:firstLine="0" w:firstLineChars="0"/>
              <w:jc w:val="center"/>
              <w:textAlignment w:val="auto"/>
              <w:rPr>
                <w:rFonts w:hint="eastAsia" w:cs="Times New Roman"/>
                <w:highlight w:val="none"/>
                <w:lang w:val="en-US" w:eastAsia="zh-CN"/>
              </w:rPr>
            </w:pPr>
          </w:p>
        </w:tc>
        <w:tc>
          <w:tcPr>
            <w:tcW w:w="328" w:type="pct"/>
            <w:shd w:val="clear" w:color="auto" w:fill="auto"/>
            <w:vAlign w:val="center"/>
          </w:tcPr>
          <w:p w14:paraId="58F57973">
            <w:pPr>
              <w:keepNext w:val="0"/>
              <w:keepLines/>
              <w:widowControl/>
              <w:suppressLineNumbers w:val="0"/>
              <w:ind w:left="0" w:leftChars="0" w:firstLine="0" w:firstLineChars="0"/>
              <w:jc w:val="center"/>
              <w:textAlignment w:val="center"/>
              <w:rPr>
                <w:rFonts w:hint="eastAsia" w:eastAsia="宋体" w:cs="Times New Roman"/>
                <w:sz w:val="24"/>
                <w:szCs w:val="24"/>
                <w:highlight w:val="none"/>
              </w:rPr>
            </w:pPr>
            <w:r>
              <w:rPr>
                <w:rFonts w:hint="eastAsia" w:eastAsia="宋体" w:cs="Times New Roman"/>
                <w:sz w:val="24"/>
                <w:szCs w:val="24"/>
                <w:highlight w:val="none"/>
              </w:rPr>
              <w:t>深化绿色制造体系建设</w:t>
            </w:r>
          </w:p>
        </w:tc>
        <w:tc>
          <w:tcPr>
            <w:tcW w:w="3414" w:type="pct"/>
            <w:gridSpan w:val="2"/>
            <w:shd w:val="clear" w:color="auto" w:fill="auto"/>
            <w:vAlign w:val="center"/>
          </w:tcPr>
          <w:p w14:paraId="01DFA2BA">
            <w:pPr>
              <w:keepNext w:val="0"/>
              <w:keepLines/>
              <w:widowControl/>
              <w:suppressLineNumbers w:val="0"/>
              <w:ind w:left="0" w:leftChars="0" w:firstLine="0" w:firstLineChars="0"/>
              <w:jc w:val="both"/>
              <w:textAlignment w:val="center"/>
              <w:rPr>
                <w:rFonts w:hint="eastAsia" w:eastAsia="宋体" w:cs="Times New Roman"/>
                <w:sz w:val="24"/>
                <w:szCs w:val="24"/>
                <w:highlight w:val="none"/>
                <w:lang w:eastAsia="zh-CN"/>
              </w:rPr>
            </w:pPr>
            <w:r>
              <w:rPr>
                <w:rFonts w:hint="eastAsia" w:eastAsia="宋体" w:cs="Times New Roman"/>
                <w:sz w:val="24"/>
                <w:szCs w:val="24"/>
                <w:highlight w:val="none"/>
              </w:rPr>
              <w:t>持续推进国家级、兵团级绿色产品、绿色工厂、绿色供应链管理企业建设</w:t>
            </w:r>
            <w:r>
              <w:rPr>
                <w:rFonts w:hint="eastAsia" w:eastAsia="宋体" w:cs="Times New Roman"/>
                <w:sz w:val="24"/>
                <w:szCs w:val="24"/>
                <w:highlight w:val="none"/>
                <w:lang w:eastAsia="zh-CN"/>
              </w:rPr>
              <w:t>；</w:t>
            </w:r>
            <w:r>
              <w:rPr>
                <w:rFonts w:hint="eastAsia" w:eastAsia="宋体" w:cs="Times New Roman"/>
                <w:sz w:val="24"/>
                <w:szCs w:val="24"/>
                <w:highlight w:val="none"/>
              </w:rPr>
              <w:t>建立绿色工厂培育库，按照“储备一批、培育一批、打造一批”的原则，实施动态分类管理。到2025年，创建国家级绿色工厂8家，到2030年，创建国家级绿色工厂10家。</w:t>
            </w:r>
          </w:p>
        </w:tc>
        <w:tc>
          <w:tcPr>
            <w:tcW w:w="654" w:type="pct"/>
            <w:shd w:val="clear" w:color="auto" w:fill="auto"/>
            <w:vAlign w:val="center"/>
          </w:tcPr>
          <w:p w14:paraId="6AA299A9">
            <w:pPr>
              <w:keepNext w:val="0"/>
              <w:keepLines/>
              <w:widowControl/>
              <w:suppressLineNumbers w:val="0"/>
              <w:ind w:left="0" w:leftChars="0" w:firstLine="0" w:firstLineChars="0"/>
              <w:jc w:val="center"/>
              <w:textAlignment w:val="center"/>
              <w:rPr>
                <w:rFonts w:hint="eastAsia" w:eastAsia="宋体" w:cs="Times New Roman"/>
                <w:sz w:val="24"/>
                <w:szCs w:val="24"/>
                <w:highlight w:val="none"/>
                <w:lang w:val="en-US" w:eastAsia="zh-CN"/>
              </w:rPr>
            </w:pPr>
            <w:r>
              <w:rPr>
                <w:rFonts w:hint="eastAsia" w:eastAsia="宋体" w:cs="Times New Roman"/>
                <w:sz w:val="24"/>
                <w:szCs w:val="24"/>
                <w:highlight w:val="none"/>
                <w:lang w:eastAsia="zh-CN"/>
              </w:rPr>
              <w:t>经济发展局</w:t>
            </w:r>
          </w:p>
        </w:tc>
      </w:tr>
      <w:tr w14:paraId="22B1F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8" w:type="pct"/>
            <w:vAlign w:val="center"/>
          </w:tcPr>
          <w:p w14:paraId="5FB3D6AE">
            <w:pPr>
              <w:keepNext w:val="0"/>
              <w:keepLines/>
              <w:widowControl/>
              <w:numPr>
                <w:ilvl w:val="0"/>
                <w:numId w:val="1"/>
              </w:numPr>
              <w:suppressLineNumbers w:val="0"/>
              <w:tabs>
                <w:tab w:val="clear" w:pos="0"/>
              </w:tabs>
              <w:ind w:left="454" w:leftChars="0" w:hanging="454" w:firstLineChars="0"/>
              <w:jc w:val="center"/>
              <w:textAlignment w:val="center"/>
              <w:rPr>
                <w:rFonts w:hint="eastAsia" w:eastAsia="宋体" w:cs="Times New Roman"/>
                <w:kern w:val="2"/>
                <w:sz w:val="24"/>
                <w:szCs w:val="24"/>
                <w:highlight w:val="none"/>
                <w:lang w:val="en-US" w:eastAsia="zh-CN" w:bidi="ar-SA"/>
              </w:rPr>
            </w:pPr>
          </w:p>
        </w:tc>
        <w:tc>
          <w:tcPr>
            <w:tcW w:w="325" w:type="pct"/>
            <w:vMerge w:val="continue"/>
            <w:vAlign w:val="center"/>
          </w:tcPr>
          <w:p w14:paraId="3409C780">
            <w:pPr>
              <w:pStyle w:val="35"/>
              <w:keepNext w:val="0"/>
              <w:keepLines/>
              <w:pageBreakBefore w:val="0"/>
              <w:widowControl/>
              <w:kinsoku/>
              <w:wordWrap/>
              <w:overflowPunct w:val="0"/>
              <w:topLinePunct w:val="0"/>
              <w:autoSpaceDE/>
              <w:autoSpaceDN/>
              <w:bidi w:val="0"/>
              <w:adjustRightInd/>
              <w:snapToGrid w:val="0"/>
              <w:ind w:firstLine="0" w:firstLineChars="0"/>
              <w:jc w:val="center"/>
              <w:textAlignment w:val="auto"/>
              <w:rPr>
                <w:rFonts w:hint="eastAsia" w:cs="Times New Roman"/>
                <w:highlight w:val="none"/>
                <w:lang w:val="en-US" w:eastAsia="zh-CN"/>
              </w:rPr>
            </w:pPr>
          </w:p>
        </w:tc>
        <w:tc>
          <w:tcPr>
            <w:tcW w:w="328" w:type="pct"/>
            <w:shd w:val="clear" w:color="auto" w:fill="auto"/>
            <w:vAlign w:val="center"/>
          </w:tcPr>
          <w:p w14:paraId="1E57B3E9">
            <w:pPr>
              <w:keepNext w:val="0"/>
              <w:keepLines/>
              <w:widowControl/>
              <w:suppressLineNumbers w:val="0"/>
              <w:ind w:left="0" w:leftChars="0" w:firstLine="0" w:firstLineChars="0"/>
              <w:jc w:val="center"/>
              <w:textAlignment w:val="center"/>
              <w:rPr>
                <w:rFonts w:hint="eastAsia" w:eastAsia="宋体" w:cs="Times New Roman"/>
                <w:sz w:val="24"/>
                <w:szCs w:val="24"/>
                <w:highlight w:val="none"/>
              </w:rPr>
            </w:pPr>
            <w:r>
              <w:rPr>
                <w:rFonts w:hint="eastAsia" w:eastAsia="宋体" w:cs="Times New Roman"/>
                <w:sz w:val="24"/>
                <w:szCs w:val="24"/>
                <w:highlight w:val="none"/>
              </w:rPr>
              <w:t>推动节能技术改造</w:t>
            </w:r>
          </w:p>
        </w:tc>
        <w:tc>
          <w:tcPr>
            <w:tcW w:w="3414" w:type="pct"/>
            <w:gridSpan w:val="2"/>
            <w:shd w:val="clear" w:color="auto" w:fill="auto"/>
            <w:vAlign w:val="center"/>
          </w:tcPr>
          <w:p w14:paraId="762A42F7">
            <w:pPr>
              <w:keepNext w:val="0"/>
              <w:keepLines/>
              <w:widowControl/>
              <w:suppressLineNumbers w:val="0"/>
              <w:ind w:left="0" w:leftChars="0" w:firstLine="0" w:firstLineChars="0"/>
              <w:jc w:val="both"/>
              <w:textAlignment w:val="center"/>
              <w:rPr>
                <w:rFonts w:hint="eastAsia" w:eastAsia="宋体" w:cs="Times New Roman"/>
                <w:sz w:val="24"/>
                <w:szCs w:val="24"/>
                <w:highlight w:val="none"/>
                <w:lang w:eastAsia="zh-CN"/>
              </w:rPr>
            </w:pPr>
            <w:r>
              <w:rPr>
                <w:rFonts w:hint="eastAsia" w:eastAsia="宋体" w:cs="Times New Roman"/>
                <w:sz w:val="24"/>
                <w:szCs w:val="24"/>
                <w:highlight w:val="none"/>
              </w:rPr>
              <w:t>以有色金属、建材、化工等行业为重点，加大工业窑炉、锅炉、电机、水泵、风机、压缩机等重点用能设备系统的节能改造力度，推动重点用能设备节能增效和能量梯级利用。</w:t>
            </w:r>
          </w:p>
        </w:tc>
        <w:tc>
          <w:tcPr>
            <w:tcW w:w="654" w:type="pct"/>
            <w:shd w:val="clear" w:color="auto" w:fill="auto"/>
            <w:vAlign w:val="center"/>
          </w:tcPr>
          <w:p w14:paraId="1E9CCAF5">
            <w:pPr>
              <w:keepNext w:val="0"/>
              <w:keepLines/>
              <w:widowControl/>
              <w:suppressLineNumbers w:val="0"/>
              <w:ind w:left="0" w:leftChars="0" w:firstLine="0" w:firstLineChars="0"/>
              <w:jc w:val="center"/>
              <w:textAlignment w:val="center"/>
              <w:rPr>
                <w:rFonts w:hint="default" w:eastAsia="宋体" w:cs="Times New Roman"/>
                <w:sz w:val="24"/>
                <w:szCs w:val="24"/>
                <w:highlight w:val="none"/>
                <w:lang w:val="en-US" w:eastAsia="zh-CN"/>
              </w:rPr>
            </w:pPr>
            <w:r>
              <w:rPr>
                <w:rFonts w:hint="eastAsia" w:eastAsia="宋体" w:cs="Times New Roman"/>
                <w:sz w:val="24"/>
                <w:szCs w:val="24"/>
                <w:highlight w:val="none"/>
                <w:lang w:eastAsia="zh-CN"/>
              </w:rPr>
              <w:t>经济发展局</w:t>
            </w:r>
            <w:r>
              <w:rPr>
                <w:rFonts w:hint="default" w:eastAsia="宋体" w:cs="Times New Roman"/>
                <w:sz w:val="24"/>
                <w:szCs w:val="24"/>
                <w:highlight w:val="none"/>
              </w:rPr>
              <w:t>、</w:t>
            </w:r>
            <w:r>
              <w:rPr>
                <w:rFonts w:hint="eastAsia" w:eastAsia="宋体" w:cs="Times New Roman"/>
                <w:sz w:val="24"/>
                <w:szCs w:val="24"/>
                <w:highlight w:val="none"/>
                <w:lang w:eastAsia="zh-CN"/>
              </w:rPr>
              <w:t>规划建设局</w:t>
            </w:r>
            <w:r>
              <w:rPr>
                <w:rFonts w:hint="default" w:eastAsia="宋体" w:cs="Times New Roman"/>
                <w:sz w:val="24"/>
                <w:szCs w:val="24"/>
                <w:highlight w:val="none"/>
              </w:rPr>
              <w:t>、十户滩新材料工业园区管理办公室</w:t>
            </w:r>
          </w:p>
        </w:tc>
      </w:tr>
      <w:tr w14:paraId="4C459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8" w:type="pct"/>
            <w:vAlign w:val="center"/>
          </w:tcPr>
          <w:p w14:paraId="54B21A99">
            <w:pPr>
              <w:keepNext w:val="0"/>
              <w:keepLines/>
              <w:widowControl/>
              <w:numPr>
                <w:ilvl w:val="0"/>
                <w:numId w:val="1"/>
              </w:numPr>
              <w:suppressLineNumbers w:val="0"/>
              <w:tabs>
                <w:tab w:val="clear" w:pos="0"/>
              </w:tabs>
              <w:ind w:left="454" w:leftChars="0" w:hanging="454" w:firstLineChars="0"/>
              <w:jc w:val="center"/>
              <w:textAlignment w:val="center"/>
              <w:rPr>
                <w:rFonts w:hint="eastAsia" w:eastAsia="宋体" w:cs="Times New Roman"/>
                <w:kern w:val="2"/>
                <w:sz w:val="24"/>
                <w:szCs w:val="24"/>
                <w:highlight w:val="none"/>
                <w:lang w:val="en-US" w:eastAsia="zh-CN" w:bidi="ar-SA"/>
              </w:rPr>
            </w:pPr>
          </w:p>
        </w:tc>
        <w:tc>
          <w:tcPr>
            <w:tcW w:w="325" w:type="pct"/>
            <w:vMerge w:val="restart"/>
            <w:vAlign w:val="center"/>
          </w:tcPr>
          <w:p w14:paraId="4AD4ED9C">
            <w:pPr>
              <w:pStyle w:val="35"/>
              <w:keepNext w:val="0"/>
              <w:keepLines/>
              <w:pageBreakBefore w:val="0"/>
              <w:widowControl/>
              <w:kinsoku/>
              <w:wordWrap/>
              <w:overflowPunct w:val="0"/>
              <w:topLinePunct w:val="0"/>
              <w:autoSpaceDE/>
              <w:autoSpaceDN/>
              <w:bidi w:val="0"/>
              <w:adjustRightInd/>
              <w:snapToGrid w:val="0"/>
              <w:ind w:firstLine="0" w:firstLineChars="0"/>
              <w:jc w:val="center"/>
              <w:textAlignment w:val="auto"/>
              <w:rPr>
                <w:rFonts w:hint="eastAsia" w:cs="Times New Roman"/>
                <w:highlight w:val="none"/>
                <w:lang w:val="en-US" w:eastAsia="zh-CN"/>
              </w:rPr>
            </w:pPr>
            <w:r>
              <w:rPr>
                <w:rFonts w:hint="eastAsia" w:cs="Times New Roman"/>
                <w:highlight w:val="none"/>
              </w:rPr>
              <w:t>加快能源绿色低碳转型</w:t>
            </w:r>
          </w:p>
        </w:tc>
        <w:tc>
          <w:tcPr>
            <w:tcW w:w="328" w:type="pct"/>
            <w:shd w:val="clear" w:color="auto" w:fill="auto"/>
            <w:vAlign w:val="center"/>
          </w:tcPr>
          <w:p w14:paraId="07C4E940">
            <w:pPr>
              <w:keepNext w:val="0"/>
              <w:keepLines/>
              <w:widowControl/>
              <w:suppressLineNumbers w:val="0"/>
              <w:ind w:left="0" w:leftChars="0" w:firstLine="0" w:firstLineChars="0"/>
              <w:jc w:val="center"/>
              <w:textAlignment w:val="center"/>
              <w:rPr>
                <w:rFonts w:hint="eastAsia" w:eastAsia="宋体" w:cs="Times New Roman"/>
                <w:sz w:val="24"/>
                <w:szCs w:val="24"/>
                <w:highlight w:val="none"/>
              </w:rPr>
            </w:pPr>
            <w:r>
              <w:rPr>
                <w:rFonts w:hint="eastAsia" w:eastAsia="宋体" w:cs="Times New Roman"/>
                <w:sz w:val="24"/>
                <w:szCs w:val="24"/>
                <w:highlight w:val="none"/>
              </w:rPr>
              <w:t>推动煤炭清洁高效利用</w:t>
            </w:r>
          </w:p>
        </w:tc>
        <w:tc>
          <w:tcPr>
            <w:tcW w:w="3414" w:type="pct"/>
            <w:gridSpan w:val="2"/>
            <w:shd w:val="clear" w:color="auto" w:fill="auto"/>
            <w:vAlign w:val="center"/>
          </w:tcPr>
          <w:p w14:paraId="401AC2C9">
            <w:pPr>
              <w:keepNext w:val="0"/>
              <w:keepLines/>
              <w:widowControl/>
              <w:suppressLineNumbers w:val="0"/>
              <w:ind w:left="0" w:leftChars="0" w:firstLine="0" w:firstLineChars="0"/>
              <w:jc w:val="both"/>
              <w:textAlignment w:val="center"/>
              <w:rPr>
                <w:rFonts w:hint="eastAsia" w:eastAsia="宋体" w:cs="Times New Roman"/>
                <w:sz w:val="24"/>
                <w:szCs w:val="24"/>
                <w:highlight w:val="none"/>
                <w:lang w:eastAsia="zh-CN"/>
              </w:rPr>
            </w:pPr>
            <w:r>
              <w:rPr>
                <w:rFonts w:hint="eastAsia" w:eastAsia="宋体" w:cs="Times New Roman"/>
                <w:sz w:val="24"/>
                <w:szCs w:val="24"/>
                <w:highlight w:val="none"/>
              </w:rPr>
              <w:t>2025年全面开启全区煤电机组节能降碳改造、灵活性改造、供热改造“三改联动”，重点推动天山铝业、合盛硅业、天业等企业自备电厂实施“三改联动”，依法依规逐步对全区内自备电厂实施改造、替代或搬迁</w:t>
            </w:r>
            <w:r>
              <w:rPr>
                <w:rFonts w:hint="eastAsia" w:eastAsia="宋体" w:cs="Times New Roman"/>
                <w:sz w:val="24"/>
                <w:szCs w:val="24"/>
                <w:highlight w:val="none"/>
                <w:lang w:eastAsia="zh-CN"/>
              </w:rPr>
              <w:t>；</w:t>
            </w:r>
            <w:r>
              <w:rPr>
                <w:rFonts w:hint="eastAsia" w:eastAsia="宋体" w:cs="Times New Roman"/>
                <w:sz w:val="24"/>
                <w:szCs w:val="24"/>
                <w:highlight w:val="none"/>
              </w:rPr>
              <w:t>到2025年底，完成全区范围内的燃煤锅炉和落后燃煤小热电机组（含自备电厂）的关停、整合或改造</w:t>
            </w:r>
            <w:r>
              <w:rPr>
                <w:rFonts w:hint="eastAsia" w:eastAsia="宋体" w:cs="Times New Roman"/>
                <w:sz w:val="24"/>
                <w:szCs w:val="24"/>
                <w:highlight w:val="none"/>
                <w:lang w:eastAsia="zh-CN"/>
              </w:rPr>
              <w:t>。</w:t>
            </w:r>
          </w:p>
        </w:tc>
        <w:tc>
          <w:tcPr>
            <w:tcW w:w="654" w:type="pct"/>
            <w:shd w:val="clear" w:color="auto" w:fill="auto"/>
            <w:vAlign w:val="center"/>
          </w:tcPr>
          <w:p w14:paraId="4E463E01">
            <w:pPr>
              <w:keepNext w:val="0"/>
              <w:keepLines/>
              <w:widowControl/>
              <w:suppressLineNumbers w:val="0"/>
              <w:ind w:left="0" w:leftChars="0" w:firstLine="0" w:firstLineChars="0"/>
              <w:jc w:val="center"/>
              <w:textAlignment w:val="center"/>
              <w:rPr>
                <w:rFonts w:hint="eastAsia" w:eastAsia="宋体" w:cs="Times New Roman"/>
                <w:sz w:val="24"/>
                <w:szCs w:val="24"/>
                <w:highlight w:val="none"/>
              </w:rPr>
            </w:pPr>
            <w:r>
              <w:rPr>
                <w:rFonts w:hint="eastAsia" w:eastAsia="宋体" w:cs="Times New Roman"/>
                <w:sz w:val="24"/>
                <w:szCs w:val="24"/>
                <w:highlight w:val="none"/>
                <w:lang w:eastAsia="zh-CN"/>
              </w:rPr>
              <w:t>经济发展局</w:t>
            </w:r>
            <w:r>
              <w:rPr>
                <w:rFonts w:hint="eastAsia" w:eastAsia="宋体" w:cs="Times New Roman"/>
                <w:sz w:val="24"/>
                <w:szCs w:val="24"/>
                <w:highlight w:val="none"/>
              </w:rPr>
              <w:t>、</w:t>
            </w:r>
            <w:r>
              <w:rPr>
                <w:rFonts w:hint="eastAsia" w:eastAsia="宋体" w:cs="Times New Roman"/>
                <w:sz w:val="24"/>
                <w:szCs w:val="24"/>
                <w:highlight w:val="none"/>
                <w:lang w:eastAsia="zh-CN"/>
              </w:rPr>
              <w:t>规划建设局</w:t>
            </w:r>
            <w:r>
              <w:rPr>
                <w:rFonts w:hint="eastAsia" w:eastAsia="宋体" w:cs="Times New Roman"/>
                <w:sz w:val="24"/>
                <w:szCs w:val="24"/>
                <w:highlight w:val="none"/>
              </w:rPr>
              <w:t>、十户滩新材料工业园区管理办公室</w:t>
            </w:r>
          </w:p>
        </w:tc>
      </w:tr>
      <w:tr w14:paraId="1DDF9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13" w:hRule="atLeast"/>
        </w:trPr>
        <w:tc>
          <w:tcPr>
            <w:tcW w:w="278" w:type="pct"/>
            <w:vAlign w:val="center"/>
          </w:tcPr>
          <w:p w14:paraId="028A30FF">
            <w:pPr>
              <w:keepNext w:val="0"/>
              <w:keepLines/>
              <w:widowControl/>
              <w:numPr>
                <w:ilvl w:val="0"/>
                <w:numId w:val="1"/>
              </w:numPr>
              <w:suppressLineNumbers w:val="0"/>
              <w:tabs>
                <w:tab w:val="clear" w:pos="0"/>
              </w:tabs>
              <w:ind w:left="454" w:leftChars="0" w:hanging="454" w:firstLineChars="0"/>
              <w:jc w:val="center"/>
              <w:textAlignment w:val="center"/>
              <w:rPr>
                <w:rFonts w:hint="eastAsia" w:eastAsia="宋体" w:cs="Times New Roman"/>
                <w:kern w:val="2"/>
                <w:sz w:val="24"/>
                <w:szCs w:val="24"/>
                <w:highlight w:val="none"/>
                <w:lang w:val="en-US" w:eastAsia="zh-CN" w:bidi="ar-SA"/>
              </w:rPr>
            </w:pPr>
          </w:p>
        </w:tc>
        <w:tc>
          <w:tcPr>
            <w:tcW w:w="325" w:type="pct"/>
            <w:vMerge w:val="continue"/>
            <w:vAlign w:val="center"/>
          </w:tcPr>
          <w:p w14:paraId="63398A5E">
            <w:pPr>
              <w:pStyle w:val="35"/>
              <w:keepNext w:val="0"/>
              <w:keepLines/>
              <w:pageBreakBefore w:val="0"/>
              <w:widowControl/>
              <w:kinsoku/>
              <w:wordWrap/>
              <w:overflowPunct w:val="0"/>
              <w:topLinePunct w:val="0"/>
              <w:autoSpaceDE/>
              <w:autoSpaceDN/>
              <w:bidi w:val="0"/>
              <w:adjustRightInd/>
              <w:snapToGrid w:val="0"/>
              <w:ind w:firstLine="0" w:firstLineChars="0"/>
              <w:jc w:val="center"/>
              <w:textAlignment w:val="auto"/>
              <w:rPr>
                <w:rFonts w:hint="eastAsia" w:cs="Times New Roman"/>
                <w:highlight w:val="none"/>
                <w:lang w:val="en-US" w:eastAsia="zh-CN"/>
              </w:rPr>
            </w:pPr>
          </w:p>
        </w:tc>
        <w:tc>
          <w:tcPr>
            <w:tcW w:w="328" w:type="pct"/>
            <w:shd w:val="clear" w:color="auto" w:fill="auto"/>
            <w:vAlign w:val="center"/>
          </w:tcPr>
          <w:p w14:paraId="6F0871F1">
            <w:pPr>
              <w:keepNext w:val="0"/>
              <w:keepLines/>
              <w:widowControl/>
              <w:suppressLineNumbers w:val="0"/>
              <w:ind w:left="0" w:leftChars="0" w:firstLine="0" w:firstLineChars="0"/>
              <w:jc w:val="center"/>
              <w:textAlignment w:val="center"/>
              <w:rPr>
                <w:rFonts w:hint="default" w:eastAsia="宋体" w:cs="Times New Roman"/>
                <w:sz w:val="24"/>
                <w:szCs w:val="24"/>
                <w:highlight w:val="none"/>
                <w:lang w:val="en-US" w:eastAsia="zh-CN"/>
              </w:rPr>
            </w:pPr>
            <w:r>
              <w:rPr>
                <w:rFonts w:hint="eastAsia" w:eastAsia="宋体" w:cs="Times New Roman"/>
                <w:sz w:val="24"/>
                <w:szCs w:val="24"/>
                <w:highlight w:val="none"/>
              </w:rPr>
              <w:t>推动可再生能源消纳</w:t>
            </w:r>
          </w:p>
        </w:tc>
        <w:tc>
          <w:tcPr>
            <w:tcW w:w="3414" w:type="pct"/>
            <w:gridSpan w:val="2"/>
            <w:shd w:val="clear" w:color="auto" w:fill="auto"/>
            <w:vAlign w:val="center"/>
          </w:tcPr>
          <w:p w14:paraId="2D5ABF83">
            <w:pPr>
              <w:keepNext w:val="0"/>
              <w:keepLines/>
              <w:widowControl/>
              <w:suppressLineNumbers w:val="0"/>
              <w:ind w:left="0" w:leftChars="0" w:firstLine="0" w:firstLineChars="0"/>
              <w:jc w:val="both"/>
              <w:textAlignment w:val="center"/>
              <w:rPr>
                <w:rFonts w:hint="eastAsia" w:eastAsia="宋体" w:cs="Times New Roman"/>
                <w:sz w:val="24"/>
                <w:szCs w:val="24"/>
                <w:highlight w:val="none"/>
                <w:lang w:eastAsia="zh-CN"/>
              </w:rPr>
            </w:pPr>
            <w:r>
              <w:rPr>
                <w:rFonts w:hint="eastAsia" w:eastAsia="宋体" w:cs="Times New Roman"/>
                <w:sz w:val="24"/>
                <w:szCs w:val="24"/>
                <w:highlight w:val="none"/>
              </w:rPr>
              <w:t>依托师市集中式光伏项目建设，全力争取绿电资源，以铝、硅产业重点企业为核心，加大可再生能源消纳，推动能源消费侧结构转型，2025年底前，实现“可再生能源发电”消纳不低于40亿千瓦时</w:t>
            </w:r>
            <w:r>
              <w:rPr>
                <w:rFonts w:hint="eastAsia" w:eastAsia="宋体" w:cs="Times New Roman"/>
                <w:sz w:val="24"/>
                <w:szCs w:val="24"/>
                <w:highlight w:val="none"/>
                <w:lang w:eastAsia="zh-CN"/>
              </w:rPr>
              <w:t>。</w:t>
            </w:r>
          </w:p>
        </w:tc>
        <w:tc>
          <w:tcPr>
            <w:tcW w:w="654" w:type="pct"/>
            <w:vMerge w:val="restart"/>
            <w:shd w:val="clear" w:color="auto" w:fill="auto"/>
            <w:vAlign w:val="center"/>
          </w:tcPr>
          <w:p w14:paraId="4D24E9FA">
            <w:pPr>
              <w:keepNext w:val="0"/>
              <w:keepLines/>
              <w:widowControl/>
              <w:suppressLineNumbers w:val="0"/>
              <w:ind w:left="0" w:leftChars="0" w:firstLine="0" w:firstLineChars="0"/>
              <w:jc w:val="center"/>
              <w:textAlignment w:val="center"/>
              <w:rPr>
                <w:rFonts w:hint="default" w:eastAsia="宋体" w:cs="Times New Roman"/>
                <w:sz w:val="24"/>
                <w:szCs w:val="24"/>
                <w:highlight w:val="none"/>
                <w:lang w:val="en-US" w:eastAsia="zh-CN"/>
              </w:rPr>
            </w:pPr>
            <w:r>
              <w:rPr>
                <w:rFonts w:hint="eastAsia" w:eastAsia="宋体" w:cs="Times New Roman"/>
                <w:sz w:val="24"/>
                <w:szCs w:val="24"/>
                <w:highlight w:val="none"/>
                <w:lang w:eastAsia="zh-CN"/>
              </w:rPr>
              <w:t>经济发展局</w:t>
            </w:r>
            <w:r>
              <w:rPr>
                <w:rFonts w:hint="default" w:eastAsia="宋体" w:cs="Times New Roman"/>
                <w:sz w:val="24"/>
                <w:szCs w:val="24"/>
                <w:highlight w:val="none"/>
              </w:rPr>
              <w:t>、</w:t>
            </w:r>
            <w:r>
              <w:rPr>
                <w:rFonts w:hint="eastAsia" w:eastAsia="宋体" w:cs="Times New Roman"/>
                <w:sz w:val="24"/>
                <w:szCs w:val="24"/>
                <w:highlight w:val="none"/>
                <w:lang w:eastAsia="zh-CN"/>
              </w:rPr>
              <w:t>投资促进局</w:t>
            </w:r>
            <w:r>
              <w:rPr>
                <w:rFonts w:hint="default" w:eastAsia="宋体" w:cs="Times New Roman"/>
                <w:sz w:val="24"/>
                <w:szCs w:val="24"/>
                <w:highlight w:val="none"/>
              </w:rPr>
              <w:t>、</w:t>
            </w:r>
            <w:r>
              <w:rPr>
                <w:rFonts w:hint="eastAsia" w:eastAsia="宋体" w:cs="Times New Roman"/>
                <w:sz w:val="24"/>
                <w:szCs w:val="24"/>
                <w:highlight w:val="none"/>
                <w:lang w:eastAsia="zh-CN"/>
              </w:rPr>
              <w:t>规划建设局</w:t>
            </w:r>
            <w:r>
              <w:rPr>
                <w:rFonts w:hint="default" w:eastAsia="宋体" w:cs="Times New Roman"/>
                <w:sz w:val="24"/>
                <w:szCs w:val="24"/>
                <w:highlight w:val="none"/>
              </w:rPr>
              <w:t>、十户滩新材料工业园区管理办公室</w:t>
            </w:r>
          </w:p>
        </w:tc>
      </w:tr>
      <w:tr w14:paraId="51DB0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8" w:type="pct"/>
            <w:vAlign w:val="center"/>
          </w:tcPr>
          <w:p w14:paraId="17D30B26">
            <w:pPr>
              <w:keepNext w:val="0"/>
              <w:keepLines/>
              <w:widowControl/>
              <w:numPr>
                <w:ilvl w:val="0"/>
                <w:numId w:val="1"/>
              </w:numPr>
              <w:suppressLineNumbers w:val="0"/>
              <w:tabs>
                <w:tab w:val="clear" w:pos="0"/>
              </w:tabs>
              <w:ind w:left="454" w:leftChars="0" w:hanging="454" w:firstLineChars="0"/>
              <w:jc w:val="center"/>
              <w:textAlignment w:val="center"/>
              <w:rPr>
                <w:rFonts w:hint="eastAsia" w:eastAsia="宋体" w:cs="Times New Roman"/>
                <w:kern w:val="2"/>
                <w:sz w:val="24"/>
                <w:szCs w:val="24"/>
                <w:highlight w:val="none"/>
                <w:lang w:val="en-US" w:eastAsia="zh-CN" w:bidi="ar-SA"/>
              </w:rPr>
            </w:pPr>
          </w:p>
        </w:tc>
        <w:tc>
          <w:tcPr>
            <w:tcW w:w="325" w:type="pct"/>
            <w:vMerge w:val="continue"/>
            <w:vAlign w:val="center"/>
          </w:tcPr>
          <w:p w14:paraId="76A1F073">
            <w:pPr>
              <w:pStyle w:val="35"/>
              <w:keepNext w:val="0"/>
              <w:keepLines/>
              <w:pageBreakBefore w:val="0"/>
              <w:widowControl/>
              <w:kinsoku/>
              <w:wordWrap/>
              <w:overflowPunct w:val="0"/>
              <w:topLinePunct w:val="0"/>
              <w:autoSpaceDE/>
              <w:autoSpaceDN/>
              <w:bidi w:val="0"/>
              <w:adjustRightInd/>
              <w:snapToGrid w:val="0"/>
              <w:ind w:firstLine="0" w:firstLineChars="0"/>
              <w:jc w:val="center"/>
              <w:textAlignment w:val="auto"/>
              <w:rPr>
                <w:rFonts w:hint="eastAsia" w:cs="Times New Roman"/>
                <w:highlight w:val="none"/>
                <w:lang w:val="en-US" w:eastAsia="zh-CN"/>
              </w:rPr>
            </w:pPr>
          </w:p>
        </w:tc>
        <w:tc>
          <w:tcPr>
            <w:tcW w:w="328" w:type="pct"/>
            <w:shd w:val="clear" w:color="auto" w:fill="auto"/>
            <w:vAlign w:val="center"/>
          </w:tcPr>
          <w:p w14:paraId="44C7FD0C">
            <w:pPr>
              <w:keepNext w:val="0"/>
              <w:keepLines/>
              <w:widowControl/>
              <w:suppressLineNumbers w:val="0"/>
              <w:ind w:left="0" w:leftChars="0" w:firstLine="0" w:firstLineChars="0"/>
              <w:jc w:val="center"/>
              <w:textAlignment w:val="center"/>
              <w:rPr>
                <w:rFonts w:hint="eastAsia" w:eastAsia="宋体" w:cs="Times New Roman"/>
                <w:sz w:val="24"/>
                <w:szCs w:val="24"/>
                <w:highlight w:val="none"/>
              </w:rPr>
            </w:pPr>
            <w:r>
              <w:rPr>
                <w:rFonts w:hint="eastAsia" w:eastAsia="宋体" w:cs="Times New Roman"/>
                <w:sz w:val="24"/>
                <w:szCs w:val="24"/>
                <w:highlight w:val="none"/>
              </w:rPr>
              <w:t>建设新型电力系统</w:t>
            </w:r>
          </w:p>
        </w:tc>
        <w:tc>
          <w:tcPr>
            <w:tcW w:w="3414" w:type="pct"/>
            <w:gridSpan w:val="2"/>
            <w:shd w:val="clear" w:color="auto" w:fill="auto"/>
            <w:vAlign w:val="center"/>
          </w:tcPr>
          <w:p w14:paraId="41AA34DF">
            <w:pPr>
              <w:keepNext w:val="0"/>
              <w:keepLines/>
              <w:widowControl/>
              <w:suppressLineNumbers w:val="0"/>
              <w:ind w:left="0" w:leftChars="0" w:firstLine="0" w:firstLineChars="0"/>
              <w:jc w:val="both"/>
              <w:textAlignment w:val="center"/>
              <w:rPr>
                <w:rFonts w:hint="eastAsia" w:eastAsia="宋体" w:cs="Times New Roman"/>
                <w:sz w:val="24"/>
                <w:szCs w:val="24"/>
                <w:highlight w:val="none"/>
                <w:lang w:eastAsia="zh-CN"/>
              </w:rPr>
            </w:pPr>
            <w:r>
              <w:rPr>
                <w:rFonts w:hint="eastAsia" w:eastAsia="宋体" w:cs="Times New Roman"/>
                <w:sz w:val="24"/>
                <w:szCs w:val="24"/>
                <w:highlight w:val="none"/>
              </w:rPr>
              <w:t>大力提升电力系统综合调节能力，加快灵活调节电源建设，引导自备电厂、传统高载能工业负荷、工商业可中断负荷、电动汽车充电网络、虚拟电厂等参与系统调节</w:t>
            </w:r>
            <w:r>
              <w:rPr>
                <w:rFonts w:hint="eastAsia" w:eastAsia="宋体" w:cs="Times New Roman"/>
                <w:sz w:val="24"/>
                <w:szCs w:val="24"/>
                <w:highlight w:val="none"/>
                <w:lang w:eastAsia="zh-CN"/>
              </w:rPr>
              <w:t>；</w:t>
            </w:r>
            <w:r>
              <w:rPr>
                <w:rFonts w:hint="eastAsia" w:eastAsia="宋体" w:cs="Times New Roman"/>
                <w:sz w:val="24"/>
                <w:szCs w:val="24"/>
                <w:highlight w:val="none"/>
              </w:rPr>
              <w:t>优先支持碳减排效果突出的煤电低碳化改造建设项目接入电网，对项目的可再生能源发电量或零碳发电量予以优先上网</w:t>
            </w:r>
            <w:r>
              <w:rPr>
                <w:rFonts w:hint="eastAsia" w:eastAsia="宋体" w:cs="Times New Roman"/>
                <w:sz w:val="24"/>
                <w:szCs w:val="24"/>
                <w:highlight w:val="none"/>
                <w:lang w:eastAsia="zh-CN"/>
              </w:rPr>
              <w:t>。</w:t>
            </w:r>
          </w:p>
        </w:tc>
        <w:tc>
          <w:tcPr>
            <w:tcW w:w="654" w:type="pct"/>
            <w:vMerge w:val="continue"/>
            <w:shd w:val="clear" w:color="auto" w:fill="auto"/>
            <w:vAlign w:val="center"/>
          </w:tcPr>
          <w:p w14:paraId="24121119">
            <w:pPr>
              <w:keepNext w:val="0"/>
              <w:keepLines/>
              <w:widowControl/>
              <w:suppressLineNumbers w:val="0"/>
              <w:ind w:left="0" w:leftChars="0" w:firstLine="0" w:firstLineChars="0"/>
              <w:jc w:val="center"/>
              <w:textAlignment w:val="center"/>
              <w:rPr>
                <w:rFonts w:hint="eastAsia" w:eastAsia="宋体" w:cs="Times New Roman"/>
                <w:sz w:val="24"/>
                <w:szCs w:val="24"/>
                <w:highlight w:val="none"/>
              </w:rPr>
            </w:pPr>
          </w:p>
        </w:tc>
      </w:tr>
      <w:tr w14:paraId="11DD6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8" w:type="pct"/>
            <w:vAlign w:val="center"/>
          </w:tcPr>
          <w:p w14:paraId="582DC416">
            <w:pPr>
              <w:keepNext w:val="0"/>
              <w:keepLines/>
              <w:widowControl/>
              <w:numPr>
                <w:ilvl w:val="0"/>
                <w:numId w:val="1"/>
              </w:numPr>
              <w:suppressLineNumbers w:val="0"/>
              <w:tabs>
                <w:tab w:val="clear" w:pos="0"/>
              </w:tabs>
              <w:ind w:left="454" w:leftChars="0" w:hanging="454" w:firstLineChars="0"/>
              <w:jc w:val="center"/>
              <w:textAlignment w:val="center"/>
              <w:rPr>
                <w:rFonts w:hint="eastAsia" w:eastAsia="宋体" w:cs="Times New Roman"/>
                <w:kern w:val="2"/>
                <w:sz w:val="24"/>
                <w:szCs w:val="24"/>
                <w:highlight w:val="none"/>
                <w:lang w:val="en-US" w:eastAsia="zh-CN" w:bidi="ar-SA"/>
              </w:rPr>
            </w:pPr>
          </w:p>
        </w:tc>
        <w:tc>
          <w:tcPr>
            <w:tcW w:w="325" w:type="pct"/>
            <w:vMerge w:val="restart"/>
            <w:vAlign w:val="center"/>
          </w:tcPr>
          <w:p w14:paraId="6DB29238">
            <w:pPr>
              <w:pStyle w:val="35"/>
              <w:keepNext w:val="0"/>
              <w:keepLines/>
              <w:pageBreakBefore w:val="0"/>
              <w:widowControl/>
              <w:kinsoku/>
              <w:wordWrap/>
              <w:overflowPunct w:val="0"/>
              <w:topLinePunct w:val="0"/>
              <w:autoSpaceDE/>
              <w:autoSpaceDN/>
              <w:bidi w:val="0"/>
              <w:adjustRightInd/>
              <w:snapToGrid w:val="0"/>
              <w:ind w:firstLine="0" w:firstLineChars="0"/>
              <w:jc w:val="center"/>
              <w:textAlignment w:val="auto"/>
              <w:rPr>
                <w:rFonts w:hint="eastAsia" w:cs="Times New Roman"/>
                <w:highlight w:val="none"/>
                <w:lang w:val="en-US" w:eastAsia="zh-CN"/>
              </w:rPr>
            </w:pPr>
            <w:r>
              <w:rPr>
                <w:rFonts w:hint="eastAsia" w:cs="Times New Roman"/>
                <w:highlight w:val="none"/>
              </w:rPr>
              <w:t>提升基础设施绿色低碳水平</w:t>
            </w:r>
          </w:p>
        </w:tc>
        <w:tc>
          <w:tcPr>
            <w:tcW w:w="328" w:type="pct"/>
            <w:shd w:val="clear" w:color="auto" w:fill="auto"/>
            <w:vAlign w:val="center"/>
          </w:tcPr>
          <w:p w14:paraId="7E135FD0">
            <w:pPr>
              <w:keepNext w:val="0"/>
              <w:keepLines/>
              <w:widowControl/>
              <w:suppressLineNumbers w:val="0"/>
              <w:ind w:left="0" w:leftChars="0" w:firstLine="0" w:firstLineChars="0"/>
              <w:jc w:val="center"/>
              <w:textAlignment w:val="center"/>
              <w:rPr>
                <w:rFonts w:hint="eastAsia" w:eastAsia="宋体" w:cs="Times New Roman"/>
                <w:sz w:val="24"/>
                <w:szCs w:val="24"/>
                <w:highlight w:val="none"/>
              </w:rPr>
            </w:pPr>
            <w:r>
              <w:rPr>
                <w:rFonts w:hint="eastAsia" w:eastAsia="宋体" w:cs="Times New Roman"/>
                <w:sz w:val="24"/>
                <w:szCs w:val="24"/>
                <w:highlight w:val="none"/>
              </w:rPr>
              <w:t>推进绿色基础设施建设</w:t>
            </w:r>
          </w:p>
        </w:tc>
        <w:tc>
          <w:tcPr>
            <w:tcW w:w="3414" w:type="pct"/>
            <w:gridSpan w:val="2"/>
            <w:shd w:val="clear" w:color="auto" w:fill="auto"/>
            <w:vAlign w:val="center"/>
          </w:tcPr>
          <w:p w14:paraId="5634D847">
            <w:pPr>
              <w:keepNext w:val="0"/>
              <w:keepLines/>
              <w:widowControl/>
              <w:suppressLineNumbers w:val="0"/>
              <w:ind w:left="0" w:leftChars="0" w:firstLine="0" w:firstLineChars="0"/>
              <w:jc w:val="both"/>
              <w:textAlignment w:val="center"/>
              <w:rPr>
                <w:rFonts w:hint="eastAsia" w:eastAsia="宋体" w:cs="Times New Roman"/>
                <w:sz w:val="24"/>
                <w:szCs w:val="24"/>
                <w:highlight w:val="none"/>
                <w:lang w:eastAsia="zh-CN"/>
              </w:rPr>
            </w:pPr>
            <w:r>
              <w:rPr>
                <w:rFonts w:hint="eastAsia" w:eastAsia="宋体" w:cs="Times New Roman"/>
                <w:sz w:val="24"/>
                <w:szCs w:val="24"/>
                <w:highlight w:val="none"/>
              </w:rPr>
              <w:t>发挥空间规划先导作用，因地制宜画好绿色基础设施规划图。在国土空间规划、区域建设和运营管理等各环节全面践行绿色低碳理念，优化区域空间布局，推动经开区建设成为集制造、研发、办公于一体的生态型、低密度、智能化第三代新型产业园区</w:t>
            </w:r>
            <w:r>
              <w:rPr>
                <w:rFonts w:hint="eastAsia" w:eastAsia="宋体" w:cs="Times New Roman"/>
                <w:sz w:val="24"/>
                <w:szCs w:val="24"/>
                <w:highlight w:val="none"/>
                <w:lang w:eastAsia="zh-CN"/>
              </w:rPr>
              <w:t>。</w:t>
            </w:r>
          </w:p>
        </w:tc>
        <w:tc>
          <w:tcPr>
            <w:tcW w:w="654" w:type="pct"/>
            <w:shd w:val="clear" w:color="auto" w:fill="auto"/>
            <w:vAlign w:val="center"/>
          </w:tcPr>
          <w:p w14:paraId="7BD61D3F">
            <w:pPr>
              <w:keepNext w:val="0"/>
              <w:keepLines/>
              <w:widowControl/>
              <w:suppressLineNumbers w:val="0"/>
              <w:ind w:left="0" w:leftChars="0" w:firstLine="0" w:firstLineChars="0"/>
              <w:jc w:val="center"/>
              <w:textAlignment w:val="center"/>
              <w:rPr>
                <w:rFonts w:hint="eastAsia" w:eastAsia="宋体" w:cs="Times New Roman"/>
                <w:sz w:val="24"/>
                <w:szCs w:val="24"/>
                <w:highlight w:val="none"/>
                <w:lang w:eastAsia="zh-CN"/>
              </w:rPr>
            </w:pPr>
            <w:r>
              <w:rPr>
                <w:rFonts w:hint="eastAsia" w:eastAsia="宋体" w:cs="Times New Roman"/>
                <w:sz w:val="24"/>
                <w:szCs w:val="24"/>
                <w:highlight w:val="none"/>
                <w:lang w:eastAsia="zh-CN"/>
              </w:rPr>
              <w:t>经济发展局</w:t>
            </w:r>
            <w:r>
              <w:rPr>
                <w:rFonts w:hint="default" w:eastAsia="宋体" w:cs="Times New Roman"/>
                <w:sz w:val="24"/>
                <w:szCs w:val="24"/>
                <w:highlight w:val="none"/>
              </w:rPr>
              <w:t>、</w:t>
            </w:r>
            <w:r>
              <w:rPr>
                <w:rFonts w:hint="eastAsia" w:eastAsia="宋体" w:cs="Times New Roman"/>
                <w:sz w:val="24"/>
                <w:szCs w:val="24"/>
                <w:highlight w:val="none"/>
                <w:lang w:eastAsia="zh-CN"/>
              </w:rPr>
              <w:t>投资促进局</w:t>
            </w:r>
          </w:p>
        </w:tc>
      </w:tr>
      <w:tr w14:paraId="6350E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8" w:type="pct"/>
            <w:vAlign w:val="center"/>
          </w:tcPr>
          <w:p w14:paraId="3B998273">
            <w:pPr>
              <w:keepNext w:val="0"/>
              <w:keepLines/>
              <w:widowControl/>
              <w:numPr>
                <w:ilvl w:val="0"/>
                <w:numId w:val="1"/>
              </w:numPr>
              <w:suppressLineNumbers w:val="0"/>
              <w:tabs>
                <w:tab w:val="clear" w:pos="0"/>
              </w:tabs>
              <w:ind w:left="454" w:leftChars="0" w:hanging="454" w:firstLineChars="0"/>
              <w:jc w:val="center"/>
              <w:textAlignment w:val="center"/>
              <w:rPr>
                <w:rFonts w:hint="eastAsia" w:eastAsia="宋体" w:cs="Times New Roman"/>
                <w:kern w:val="2"/>
                <w:sz w:val="24"/>
                <w:szCs w:val="24"/>
                <w:highlight w:val="none"/>
                <w:lang w:val="en-US" w:eastAsia="zh-CN" w:bidi="ar-SA"/>
              </w:rPr>
            </w:pPr>
          </w:p>
        </w:tc>
        <w:tc>
          <w:tcPr>
            <w:tcW w:w="325" w:type="pct"/>
            <w:vMerge w:val="continue"/>
            <w:vAlign w:val="center"/>
          </w:tcPr>
          <w:p w14:paraId="65A0610F">
            <w:pPr>
              <w:pStyle w:val="35"/>
              <w:keepNext w:val="0"/>
              <w:keepLines/>
              <w:pageBreakBefore w:val="0"/>
              <w:widowControl/>
              <w:kinsoku/>
              <w:wordWrap/>
              <w:overflowPunct w:val="0"/>
              <w:topLinePunct w:val="0"/>
              <w:autoSpaceDE/>
              <w:autoSpaceDN/>
              <w:bidi w:val="0"/>
              <w:adjustRightInd/>
              <w:snapToGrid w:val="0"/>
              <w:ind w:firstLine="0" w:firstLineChars="0"/>
              <w:jc w:val="center"/>
              <w:textAlignment w:val="auto"/>
              <w:rPr>
                <w:rFonts w:hint="eastAsia" w:cs="Times New Roman"/>
                <w:highlight w:val="none"/>
                <w:lang w:val="en-US" w:eastAsia="zh-CN"/>
              </w:rPr>
            </w:pPr>
          </w:p>
        </w:tc>
        <w:tc>
          <w:tcPr>
            <w:tcW w:w="328" w:type="pct"/>
            <w:vMerge w:val="restart"/>
            <w:shd w:val="clear" w:color="auto" w:fill="auto"/>
            <w:vAlign w:val="center"/>
          </w:tcPr>
          <w:p w14:paraId="3BF109C7">
            <w:pPr>
              <w:keepNext w:val="0"/>
              <w:keepLines/>
              <w:widowControl/>
              <w:suppressLineNumbers w:val="0"/>
              <w:ind w:left="0" w:leftChars="0" w:firstLine="0" w:firstLineChars="0"/>
              <w:jc w:val="center"/>
              <w:textAlignment w:val="center"/>
              <w:rPr>
                <w:rFonts w:hint="eastAsia" w:eastAsia="宋体" w:cs="Times New Roman"/>
                <w:sz w:val="24"/>
                <w:szCs w:val="24"/>
                <w:highlight w:val="none"/>
                <w:lang w:val="en-US" w:eastAsia="zh-CN"/>
              </w:rPr>
            </w:pPr>
            <w:r>
              <w:rPr>
                <w:rFonts w:hint="eastAsia" w:eastAsia="宋体" w:cs="Times New Roman"/>
                <w:sz w:val="24"/>
                <w:szCs w:val="24"/>
                <w:highlight w:val="none"/>
              </w:rPr>
              <w:t>推动建筑绿色低碳发展</w:t>
            </w:r>
          </w:p>
        </w:tc>
        <w:tc>
          <w:tcPr>
            <w:tcW w:w="876" w:type="pct"/>
            <w:shd w:val="clear" w:color="auto" w:fill="auto"/>
            <w:vAlign w:val="center"/>
          </w:tcPr>
          <w:p w14:paraId="674318B4">
            <w:pPr>
              <w:keepNext w:val="0"/>
              <w:keepLines/>
              <w:widowControl/>
              <w:suppressLineNumbers w:val="0"/>
              <w:ind w:left="0" w:leftChars="0" w:firstLine="0" w:firstLineChars="0"/>
              <w:jc w:val="both"/>
              <w:textAlignment w:val="center"/>
              <w:rPr>
                <w:rFonts w:hint="eastAsia" w:eastAsia="宋体" w:cs="Times New Roman"/>
                <w:sz w:val="24"/>
                <w:szCs w:val="24"/>
                <w:highlight w:val="none"/>
              </w:rPr>
            </w:pPr>
            <w:r>
              <w:rPr>
                <w:rFonts w:hint="eastAsia" w:eastAsia="宋体" w:cs="Times New Roman"/>
                <w:sz w:val="24"/>
                <w:szCs w:val="24"/>
                <w:highlight w:val="none"/>
              </w:rPr>
              <w:t>推动低碳建筑规模化发展</w:t>
            </w:r>
          </w:p>
        </w:tc>
        <w:tc>
          <w:tcPr>
            <w:tcW w:w="2538" w:type="pct"/>
            <w:shd w:val="clear" w:color="auto" w:fill="auto"/>
            <w:vAlign w:val="center"/>
          </w:tcPr>
          <w:p w14:paraId="1CE2EA90">
            <w:pPr>
              <w:keepNext w:val="0"/>
              <w:keepLines/>
              <w:widowControl/>
              <w:suppressLineNumbers w:val="0"/>
              <w:ind w:left="0" w:leftChars="0" w:firstLine="0" w:firstLineChars="0"/>
              <w:jc w:val="both"/>
              <w:textAlignment w:val="center"/>
              <w:rPr>
                <w:rFonts w:hint="eastAsia" w:eastAsia="宋体" w:cs="Times New Roman"/>
                <w:sz w:val="24"/>
                <w:szCs w:val="24"/>
                <w:highlight w:val="none"/>
                <w:lang w:eastAsia="zh-CN"/>
              </w:rPr>
            </w:pPr>
            <w:r>
              <w:rPr>
                <w:rFonts w:hint="eastAsia" w:eastAsia="宋体" w:cs="Times New Roman"/>
                <w:sz w:val="24"/>
                <w:szCs w:val="24"/>
                <w:highlight w:val="none"/>
              </w:rPr>
              <w:t>严格执行建筑节能降碳强制性标准，推进绿色低碳建造，强化绿色设计和施工管理，研发推广新型建材及先进技术。大力发展装配式建筑，积极推动智能建造，优先选用获得绿色建材认证标识的建材产品</w:t>
            </w:r>
            <w:r>
              <w:rPr>
                <w:rFonts w:hint="eastAsia" w:eastAsia="宋体" w:cs="Times New Roman"/>
                <w:sz w:val="24"/>
                <w:szCs w:val="24"/>
                <w:highlight w:val="none"/>
                <w:lang w:eastAsia="zh-CN"/>
              </w:rPr>
              <w:t>。</w:t>
            </w:r>
          </w:p>
        </w:tc>
        <w:tc>
          <w:tcPr>
            <w:tcW w:w="654" w:type="pct"/>
            <w:vMerge w:val="restart"/>
            <w:shd w:val="clear" w:color="auto" w:fill="auto"/>
            <w:vAlign w:val="center"/>
          </w:tcPr>
          <w:p w14:paraId="755C33CA">
            <w:pPr>
              <w:keepNext w:val="0"/>
              <w:keepLines/>
              <w:widowControl/>
              <w:suppressLineNumbers w:val="0"/>
              <w:ind w:left="0" w:leftChars="0" w:firstLine="0" w:firstLineChars="0"/>
              <w:jc w:val="center"/>
              <w:textAlignment w:val="center"/>
              <w:rPr>
                <w:rFonts w:hint="eastAsia" w:eastAsia="宋体" w:cs="Times New Roman"/>
                <w:sz w:val="24"/>
                <w:szCs w:val="24"/>
                <w:highlight w:val="none"/>
                <w:lang w:eastAsia="zh-CN"/>
              </w:rPr>
            </w:pPr>
            <w:r>
              <w:rPr>
                <w:rFonts w:hint="eastAsia" w:eastAsia="宋体" w:cs="Times New Roman"/>
                <w:sz w:val="24"/>
                <w:szCs w:val="24"/>
                <w:highlight w:val="none"/>
                <w:lang w:eastAsia="zh-CN"/>
              </w:rPr>
              <w:t>经济发展局</w:t>
            </w:r>
            <w:r>
              <w:rPr>
                <w:rFonts w:hint="eastAsia" w:eastAsia="宋体" w:cs="Times New Roman"/>
                <w:sz w:val="24"/>
                <w:szCs w:val="24"/>
                <w:highlight w:val="none"/>
              </w:rPr>
              <w:t>、</w:t>
            </w:r>
            <w:r>
              <w:rPr>
                <w:rFonts w:hint="eastAsia" w:eastAsia="宋体" w:cs="Times New Roman"/>
                <w:sz w:val="24"/>
                <w:szCs w:val="24"/>
                <w:highlight w:val="none"/>
                <w:lang w:eastAsia="zh-CN"/>
              </w:rPr>
              <w:t>投资促进局</w:t>
            </w:r>
            <w:r>
              <w:rPr>
                <w:rFonts w:hint="eastAsia" w:eastAsia="宋体" w:cs="Times New Roman"/>
                <w:sz w:val="24"/>
                <w:szCs w:val="24"/>
                <w:highlight w:val="none"/>
              </w:rPr>
              <w:t>、</w:t>
            </w:r>
            <w:r>
              <w:rPr>
                <w:rFonts w:hint="eastAsia" w:eastAsia="宋体" w:cs="Times New Roman"/>
                <w:sz w:val="24"/>
                <w:szCs w:val="24"/>
                <w:highlight w:val="none"/>
                <w:lang w:eastAsia="zh-CN"/>
              </w:rPr>
              <w:t>规划建设局</w:t>
            </w:r>
          </w:p>
        </w:tc>
      </w:tr>
      <w:tr w14:paraId="01FDA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8" w:type="pct"/>
            <w:vAlign w:val="center"/>
          </w:tcPr>
          <w:p w14:paraId="11DCEDCE">
            <w:pPr>
              <w:keepNext w:val="0"/>
              <w:keepLines/>
              <w:widowControl/>
              <w:numPr>
                <w:ilvl w:val="0"/>
                <w:numId w:val="1"/>
              </w:numPr>
              <w:suppressLineNumbers w:val="0"/>
              <w:tabs>
                <w:tab w:val="clear" w:pos="0"/>
              </w:tabs>
              <w:ind w:left="454" w:leftChars="0" w:hanging="454" w:firstLineChars="0"/>
              <w:jc w:val="center"/>
              <w:textAlignment w:val="center"/>
              <w:rPr>
                <w:rFonts w:hint="eastAsia" w:eastAsia="宋体" w:cs="Times New Roman"/>
                <w:kern w:val="2"/>
                <w:sz w:val="24"/>
                <w:szCs w:val="24"/>
                <w:highlight w:val="none"/>
                <w:lang w:val="en-US" w:eastAsia="zh-CN" w:bidi="ar-SA"/>
              </w:rPr>
            </w:pPr>
          </w:p>
        </w:tc>
        <w:tc>
          <w:tcPr>
            <w:tcW w:w="325" w:type="pct"/>
            <w:vMerge w:val="continue"/>
            <w:vAlign w:val="center"/>
          </w:tcPr>
          <w:p w14:paraId="211C2365">
            <w:pPr>
              <w:pStyle w:val="35"/>
              <w:keepNext w:val="0"/>
              <w:keepLines/>
              <w:pageBreakBefore w:val="0"/>
              <w:widowControl/>
              <w:kinsoku/>
              <w:wordWrap/>
              <w:overflowPunct w:val="0"/>
              <w:topLinePunct w:val="0"/>
              <w:autoSpaceDE/>
              <w:autoSpaceDN/>
              <w:bidi w:val="0"/>
              <w:adjustRightInd/>
              <w:snapToGrid w:val="0"/>
              <w:ind w:firstLine="0" w:firstLineChars="0"/>
              <w:jc w:val="center"/>
              <w:textAlignment w:val="auto"/>
              <w:rPr>
                <w:rFonts w:hint="eastAsia" w:cs="Times New Roman"/>
                <w:highlight w:val="none"/>
                <w:lang w:val="en-US" w:eastAsia="zh-CN"/>
              </w:rPr>
            </w:pPr>
          </w:p>
        </w:tc>
        <w:tc>
          <w:tcPr>
            <w:tcW w:w="328" w:type="pct"/>
            <w:vMerge w:val="continue"/>
            <w:shd w:val="clear" w:color="auto" w:fill="auto"/>
            <w:vAlign w:val="center"/>
          </w:tcPr>
          <w:p w14:paraId="7A12DC3F">
            <w:pPr>
              <w:keepNext w:val="0"/>
              <w:keepLines/>
              <w:widowControl/>
              <w:suppressLineNumbers w:val="0"/>
              <w:ind w:left="0" w:leftChars="0" w:firstLine="0" w:firstLineChars="0"/>
              <w:jc w:val="center"/>
              <w:textAlignment w:val="center"/>
              <w:rPr>
                <w:rFonts w:hint="eastAsia" w:eastAsia="宋体" w:cs="Times New Roman"/>
                <w:sz w:val="24"/>
                <w:szCs w:val="24"/>
                <w:highlight w:val="none"/>
                <w:lang w:val="en-US" w:eastAsia="zh-CN"/>
              </w:rPr>
            </w:pPr>
          </w:p>
        </w:tc>
        <w:tc>
          <w:tcPr>
            <w:tcW w:w="876" w:type="pct"/>
            <w:shd w:val="clear" w:color="auto" w:fill="auto"/>
            <w:vAlign w:val="center"/>
          </w:tcPr>
          <w:p w14:paraId="311CB300">
            <w:pPr>
              <w:keepNext w:val="0"/>
              <w:keepLines/>
              <w:widowControl/>
              <w:suppressLineNumbers w:val="0"/>
              <w:ind w:left="0" w:leftChars="0" w:firstLine="0" w:firstLineChars="0"/>
              <w:jc w:val="both"/>
              <w:textAlignment w:val="center"/>
              <w:rPr>
                <w:rFonts w:hint="eastAsia" w:eastAsia="宋体" w:cs="Times New Roman"/>
                <w:sz w:val="24"/>
                <w:szCs w:val="24"/>
                <w:highlight w:val="none"/>
              </w:rPr>
            </w:pPr>
            <w:r>
              <w:rPr>
                <w:rFonts w:hint="eastAsia" w:eastAsia="宋体" w:cs="Times New Roman"/>
                <w:sz w:val="24"/>
                <w:szCs w:val="24"/>
                <w:highlight w:val="none"/>
              </w:rPr>
              <w:t>推动建筑用能清洁低碳化</w:t>
            </w:r>
          </w:p>
        </w:tc>
        <w:tc>
          <w:tcPr>
            <w:tcW w:w="2538" w:type="pct"/>
            <w:shd w:val="clear" w:color="auto" w:fill="auto"/>
            <w:vAlign w:val="center"/>
          </w:tcPr>
          <w:p w14:paraId="15B357DC">
            <w:pPr>
              <w:keepNext w:val="0"/>
              <w:keepLines/>
              <w:widowControl/>
              <w:suppressLineNumbers w:val="0"/>
              <w:ind w:left="0" w:leftChars="0" w:firstLine="0" w:firstLineChars="0"/>
              <w:jc w:val="both"/>
              <w:textAlignment w:val="center"/>
              <w:rPr>
                <w:rFonts w:hint="eastAsia" w:eastAsia="宋体" w:cs="Times New Roman"/>
                <w:sz w:val="24"/>
                <w:szCs w:val="24"/>
                <w:highlight w:val="none"/>
                <w:lang w:eastAsia="zh-CN"/>
              </w:rPr>
            </w:pPr>
            <w:r>
              <w:rPr>
                <w:rFonts w:hint="eastAsia" w:eastAsia="宋体" w:cs="Times New Roman"/>
                <w:sz w:val="24"/>
                <w:szCs w:val="24"/>
                <w:highlight w:val="none"/>
              </w:rPr>
              <w:t>鼓励建设以“光储直柔”为特征的新型建筑电力系统，发展柔性用电建筑，实现用电需求灵活可调整，适应光伏发电大比例接入，使建筑供配电系统简单化、高效化。加强高品质绿色建筑项目建设，大力发展超低能耗、近零能耗、零能耗建筑，推动政府投资项目率先示范，持续开展绿色建筑示范区建设</w:t>
            </w:r>
            <w:r>
              <w:rPr>
                <w:rFonts w:hint="eastAsia" w:eastAsia="宋体" w:cs="Times New Roman"/>
                <w:sz w:val="24"/>
                <w:szCs w:val="24"/>
                <w:highlight w:val="none"/>
                <w:lang w:eastAsia="zh-CN"/>
              </w:rPr>
              <w:t>。</w:t>
            </w:r>
          </w:p>
        </w:tc>
        <w:tc>
          <w:tcPr>
            <w:tcW w:w="654" w:type="pct"/>
            <w:vMerge w:val="continue"/>
            <w:shd w:val="clear" w:color="auto" w:fill="auto"/>
            <w:vAlign w:val="center"/>
          </w:tcPr>
          <w:p w14:paraId="169BE8A4">
            <w:pPr>
              <w:keepNext w:val="0"/>
              <w:keepLines/>
              <w:widowControl/>
              <w:suppressLineNumbers w:val="0"/>
              <w:ind w:left="0" w:leftChars="0" w:firstLine="0" w:firstLineChars="0"/>
              <w:jc w:val="center"/>
              <w:textAlignment w:val="center"/>
              <w:rPr>
                <w:rFonts w:hint="eastAsia" w:eastAsia="宋体" w:cs="Times New Roman"/>
                <w:sz w:val="24"/>
                <w:szCs w:val="24"/>
                <w:highlight w:val="none"/>
              </w:rPr>
            </w:pPr>
          </w:p>
        </w:tc>
      </w:tr>
      <w:tr w14:paraId="292DC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8" w:type="pct"/>
            <w:vAlign w:val="center"/>
          </w:tcPr>
          <w:p w14:paraId="3184EDE0">
            <w:pPr>
              <w:keepNext w:val="0"/>
              <w:keepLines/>
              <w:widowControl/>
              <w:numPr>
                <w:ilvl w:val="0"/>
                <w:numId w:val="1"/>
              </w:numPr>
              <w:suppressLineNumbers w:val="0"/>
              <w:tabs>
                <w:tab w:val="clear" w:pos="0"/>
              </w:tabs>
              <w:ind w:left="454" w:leftChars="0" w:hanging="454" w:firstLineChars="0"/>
              <w:jc w:val="center"/>
              <w:textAlignment w:val="center"/>
              <w:rPr>
                <w:rFonts w:hint="eastAsia" w:eastAsia="宋体" w:cs="Times New Roman"/>
                <w:kern w:val="2"/>
                <w:sz w:val="24"/>
                <w:szCs w:val="24"/>
                <w:highlight w:val="none"/>
                <w:lang w:val="en-US" w:eastAsia="zh-CN" w:bidi="ar-SA"/>
              </w:rPr>
            </w:pPr>
          </w:p>
        </w:tc>
        <w:tc>
          <w:tcPr>
            <w:tcW w:w="325" w:type="pct"/>
            <w:vMerge w:val="continue"/>
            <w:vAlign w:val="center"/>
          </w:tcPr>
          <w:p w14:paraId="362A1C1E">
            <w:pPr>
              <w:pStyle w:val="35"/>
              <w:keepNext w:val="0"/>
              <w:keepLines/>
              <w:pageBreakBefore w:val="0"/>
              <w:widowControl/>
              <w:kinsoku/>
              <w:wordWrap/>
              <w:overflowPunct w:val="0"/>
              <w:topLinePunct w:val="0"/>
              <w:autoSpaceDE/>
              <w:autoSpaceDN/>
              <w:bidi w:val="0"/>
              <w:adjustRightInd/>
              <w:snapToGrid w:val="0"/>
              <w:ind w:firstLine="0" w:firstLineChars="0"/>
              <w:jc w:val="center"/>
              <w:textAlignment w:val="auto"/>
              <w:rPr>
                <w:rFonts w:hint="eastAsia" w:cs="Times New Roman"/>
                <w:highlight w:val="none"/>
                <w:lang w:val="en-US" w:eastAsia="zh-CN"/>
              </w:rPr>
            </w:pPr>
          </w:p>
        </w:tc>
        <w:tc>
          <w:tcPr>
            <w:tcW w:w="328" w:type="pct"/>
            <w:vMerge w:val="restart"/>
            <w:shd w:val="clear" w:color="auto" w:fill="auto"/>
            <w:vAlign w:val="center"/>
          </w:tcPr>
          <w:p w14:paraId="3544F753">
            <w:pPr>
              <w:keepNext w:val="0"/>
              <w:keepLines/>
              <w:widowControl/>
              <w:suppressLineNumbers w:val="0"/>
              <w:ind w:left="0" w:leftChars="0" w:firstLine="0" w:firstLineChars="0"/>
              <w:jc w:val="center"/>
              <w:textAlignment w:val="center"/>
              <w:rPr>
                <w:rFonts w:hint="eastAsia" w:eastAsia="宋体" w:cs="Times New Roman"/>
                <w:sz w:val="24"/>
                <w:szCs w:val="24"/>
                <w:highlight w:val="none"/>
                <w:lang w:val="en-US" w:eastAsia="zh-CN"/>
              </w:rPr>
            </w:pPr>
            <w:r>
              <w:rPr>
                <w:rFonts w:hint="eastAsia" w:eastAsia="宋体" w:cs="Times New Roman"/>
                <w:sz w:val="24"/>
                <w:szCs w:val="24"/>
                <w:highlight w:val="none"/>
              </w:rPr>
              <w:t>推动交通运输低碳转型</w:t>
            </w:r>
          </w:p>
        </w:tc>
        <w:tc>
          <w:tcPr>
            <w:tcW w:w="876" w:type="pct"/>
            <w:shd w:val="clear" w:color="auto" w:fill="auto"/>
            <w:vAlign w:val="center"/>
          </w:tcPr>
          <w:p w14:paraId="52D7F188">
            <w:pPr>
              <w:keepNext w:val="0"/>
              <w:keepLines/>
              <w:widowControl/>
              <w:suppressLineNumbers w:val="0"/>
              <w:ind w:left="0" w:leftChars="0" w:firstLine="0" w:firstLineChars="0"/>
              <w:jc w:val="both"/>
              <w:textAlignment w:val="center"/>
              <w:rPr>
                <w:rFonts w:hint="eastAsia" w:eastAsia="宋体" w:cs="Times New Roman"/>
                <w:sz w:val="24"/>
                <w:szCs w:val="24"/>
                <w:highlight w:val="none"/>
              </w:rPr>
            </w:pPr>
            <w:r>
              <w:rPr>
                <w:rFonts w:hint="eastAsia" w:eastAsia="宋体" w:cs="Times New Roman"/>
                <w:sz w:val="24"/>
                <w:szCs w:val="24"/>
                <w:highlight w:val="none"/>
              </w:rPr>
              <w:t>构建绿色低碳交通运输体系</w:t>
            </w:r>
          </w:p>
        </w:tc>
        <w:tc>
          <w:tcPr>
            <w:tcW w:w="2538" w:type="pct"/>
            <w:shd w:val="clear" w:color="auto" w:fill="auto"/>
            <w:vAlign w:val="center"/>
          </w:tcPr>
          <w:p w14:paraId="20E89B19">
            <w:pPr>
              <w:keepNext w:val="0"/>
              <w:keepLines/>
              <w:widowControl/>
              <w:suppressLineNumbers w:val="0"/>
              <w:ind w:left="0" w:leftChars="0" w:firstLine="0" w:firstLineChars="0"/>
              <w:jc w:val="both"/>
              <w:textAlignment w:val="center"/>
              <w:rPr>
                <w:rFonts w:hint="eastAsia" w:eastAsia="宋体" w:cs="Times New Roman"/>
                <w:sz w:val="24"/>
                <w:szCs w:val="24"/>
                <w:highlight w:val="none"/>
                <w:lang w:eastAsia="zh-CN"/>
              </w:rPr>
            </w:pPr>
            <w:r>
              <w:rPr>
                <w:rFonts w:hint="eastAsia" w:eastAsia="宋体" w:cs="Times New Roman"/>
                <w:sz w:val="24"/>
                <w:szCs w:val="24"/>
                <w:highlight w:val="none"/>
              </w:rPr>
              <w:t>积极发展智能交通，推动不同运输方式合理分工、有效衔接，降低空载率和不合理客货运周转量</w:t>
            </w:r>
            <w:r>
              <w:rPr>
                <w:rFonts w:hint="eastAsia" w:eastAsia="宋体" w:cs="Times New Roman"/>
                <w:sz w:val="24"/>
                <w:szCs w:val="24"/>
                <w:highlight w:val="none"/>
                <w:lang w:eastAsia="zh-CN"/>
              </w:rPr>
              <w:t>；</w:t>
            </w:r>
            <w:r>
              <w:rPr>
                <w:rFonts w:hint="eastAsia" w:eastAsia="宋体" w:cs="Times New Roman"/>
                <w:sz w:val="24"/>
                <w:szCs w:val="24"/>
                <w:highlight w:val="none"/>
              </w:rPr>
              <w:t>推动物流产业园区和大中型工矿企业铁路专用线规划建设，加快玛石铁路专用线（一期）、天足铁路建设，降低运输成本及运输车次</w:t>
            </w:r>
            <w:r>
              <w:rPr>
                <w:rFonts w:hint="eastAsia" w:eastAsia="宋体" w:cs="Times New Roman"/>
                <w:sz w:val="24"/>
                <w:szCs w:val="24"/>
                <w:highlight w:val="none"/>
                <w:lang w:eastAsia="zh-CN"/>
              </w:rPr>
              <w:t>。</w:t>
            </w:r>
          </w:p>
        </w:tc>
        <w:tc>
          <w:tcPr>
            <w:tcW w:w="654" w:type="pct"/>
            <w:vMerge w:val="restart"/>
            <w:shd w:val="clear" w:color="auto" w:fill="auto"/>
            <w:vAlign w:val="center"/>
          </w:tcPr>
          <w:p w14:paraId="26A05C0B">
            <w:pPr>
              <w:keepNext w:val="0"/>
              <w:keepLines/>
              <w:widowControl/>
              <w:suppressLineNumbers w:val="0"/>
              <w:ind w:left="0" w:leftChars="0" w:firstLine="0" w:firstLineChars="0"/>
              <w:jc w:val="center"/>
              <w:textAlignment w:val="center"/>
              <w:rPr>
                <w:rFonts w:hint="eastAsia" w:eastAsia="宋体" w:cs="Times New Roman"/>
                <w:sz w:val="24"/>
                <w:szCs w:val="24"/>
                <w:highlight w:val="none"/>
                <w:lang w:eastAsia="zh-CN"/>
              </w:rPr>
            </w:pPr>
            <w:r>
              <w:rPr>
                <w:rFonts w:hint="eastAsia" w:eastAsia="宋体" w:cs="Times New Roman"/>
                <w:sz w:val="24"/>
                <w:szCs w:val="24"/>
                <w:highlight w:val="none"/>
                <w:lang w:eastAsia="zh-CN"/>
              </w:rPr>
              <w:t>经济发展局</w:t>
            </w:r>
            <w:r>
              <w:rPr>
                <w:rFonts w:hint="eastAsia" w:eastAsia="宋体" w:cs="Times New Roman"/>
                <w:sz w:val="24"/>
                <w:szCs w:val="24"/>
                <w:highlight w:val="none"/>
              </w:rPr>
              <w:t>、</w:t>
            </w:r>
            <w:r>
              <w:rPr>
                <w:rFonts w:hint="eastAsia" w:eastAsia="宋体" w:cs="Times New Roman"/>
                <w:sz w:val="24"/>
                <w:szCs w:val="24"/>
                <w:highlight w:val="none"/>
                <w:lang w:eastAsia="zh-CN"/>
              </w:rPr>
              <w:t>投资促进局</w:t>
            </w:r>
            <w:r>
              <w:rPr>
                <w:rFonts w:hint="eastAsia" w:eastAsia="宋体" w:cs="Times New Roman"/>
                <w:sz w:val="24"/>
                <w:szCs w:val="24"/>
                <w:highlight w:val="none"/>
              </w:rPr>
              <w:t>、</w:t>
            </w:r>
            <w:r>
              <w:rPr>
                <w:rFonts w:hint="eastAsia" w:eastAsia="宋体" w:cs="Times New Roman"/>
                <w:sz w:val="24"/>
                <w:szCs w:val="24"/>
                <w:highlight w:val="none"/>
                <w:lang w:eastAsia="zh-CN"/>
              </w:rPr>
              <w:t>规划建设局</w:t>
            </w:r>
          </w:p>
        </w:tc>
      </w:tr>
      <w:tr w14:paraId="738D6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8" w:type="pct"/>
            <w:vAlign w:val="center"/>
          </w:tcPr>
          <w:p w14:paraId="311CAD89">
            <w:pPr>
              <w:keepNext w:val="0"/>
              <w:keepLines/>
              <w:widowControl/>
              <w:numPr>
                <w:ilvl w:val="0"/>
                <w:numId w:val="1"/>
              </w:numPr>
              <w:suppressLineNumbers w:val="0"/>
              <w:tabs>
                <w:tab w:val="clear" w:pos="0"/>
              </w:tabs>
              <w:ind w:left="454" w:leftChars="0" w:hanging="454" w:firstLineChars="0"/>
              <w:jc w:val="center"/>
              <w:textAlignment w:val="center"/>
              <w:rPr>
                <w:rFonts w:hint="eastAsia" w:eastAsia="宋体" w:cs="Times New Roman"/>
                <w:kern w:val="2"/>
                <w:sz w:val="24"/>
                <w:szCs w:val="24"/>
                <w:highlight w:val="none"/>
                <w:lang w:val="en-US" w:eastAsia="zh-CN" w:bidi="ar-SA"/>
              </w:rPr>
            </w:pPr>
          </w:p>
        </w:tc>
        <w:tc>
          <w:tcPr>
            <w:tcW w:w="325" w:type="pct"/>
            <w:vMerge w:val="continue"/>
            <w:vAlign w:val="center"/>
          </w:tcPr>
          <w:p w14:paraId="7DB69532">
            <w:pPr>
              <w:pStyle w:val="35"/>
              <w:keepNext w:val="0"/>
              <w:keepLines/>
              <w:pageBreakBefore w:val="0"/>
              <w:widowControl/>
              <w:kinsoku/>
              <w:wordWrap/>
              <w:overflowPunct w:val="0"/>
              <w:topLinePunct w:val="0"/>
              <w:autoSpaceDE/>
              <w:autoSpaceDN/>
              <w:bidi w:val="0"/>
              <w:adjustRightInd/>
              <w:snapToGrid w:val="0"/>
              <w:ind w:firstLine="0" w:firstLineChars="0"/>
              <w:jc w:val="center"/>
              <w:textAlignment w:val="auto"/>
              <w:rPr>
                <w:rFonts w:hint="eastAsia" w:cs="Times New Roman"/>
                <w:highlight w:val="none"/>
                <w:lang w:val="en-US" w:eastAsia="zh-CN"/>
              </w:rPr>
            </w:pPr>
          </w:p>
        </w:tc>
        <w:tc>
          <w:tcPr>
            <w:tcW w:w="328" w:type="pct"/>
            <w:vMerge w:val="continue"/>
            <w:shd w:val="clear" w:color="auto" w:fill="auto"/>
            <w:vAlign w:val="center"/>
          </w:tcPr>
          <w:p w14:paraId="74FB3F2C">
            <w:pPr>
              <w:keepNext w:val="0"/>
              <w:keepLines/>
              <w:widowControl/>
              <w:suppressLineNumbers w:val="0"/>
              <w:ind w:left="0" w:leftChars="0" w:firstLine="0" w:firstLineChars="0"/>
              <w:jc w:val="center"/>
              <w:textAlignment w:val="center"/>
              <w:rPr>
                <w:rFonts w:hint="eastAsia" w:eastAsia="宋体" w:cs="Times New Roman"/>
                <w:sz w:val="24"/>
                <w:szCs w:val="24"/>
                <w:highlight w:val="none"/>
                <w:lang w:val="en-US" w:eastAsia="zh-CN"/>
              </w:rPr>
            </w:pPr>
          </w:p>
        </w:tc>
        <w:tc>
          <w:tcPr>
            <w:tcW w:w="876" w:type="pct"/>
            <w:shd w:val="clear" w:color="auto" w:fill="auto"/>
            <w:vAlign w:val="center"/>
          </w:tcPr>
          <w:p w14:paraId="584797CC">
            <w:pPr>
              <w:keepNext w:val="0"/>
              <w:keepLines/>
              <w:widowControl/>
              <w:suppressLineNumbers w:val="0"/>
              <w:ind w:left="0" w:leftChars="0" w:firstLine="0" w:firstLineChars="0"/>
              <w:jc w:val="both"/>
              <w:textAlignment w:val="center"/>
              <w:rPr>
                <w:rFonts w:hint="eastAsia" w:eastAsia="宋体" w:cs="Times New Roman"/>
                <w:sz w:val="24"/>
                <w:szCs w:val="24"/>
                <w:highlight w:val="none"/>
              </w:rPr>
            </w:pPr>
            <w:r>
              <w:rPr>
                <w:rFonts w:hint="eastAsia" w:eastAsia="宋体" w:cs="Times New Roman"/>
                <w:sz w:val="24"/>
                <w:szCs w:val="24"/>
                <w:highlight w:val="none"/>
              </w:rPr>
              <w:t>推进物流企业低碳发展</w:t>
            </w:r>
          </w:p>
        </w:tc>
        <w:tc>
          <w:tcPr>
            <w:tcW w:w="2538" w:type="pct"/>
            <w:shd w:val="clear" w:color="auto" w:fill="auto"/>
            <w:vAlign w:val="center"/>
          </w:tcPr>
          <w:p w14:paraId="1B6FF238">
            <w:pPr>
              <w:keepNext w:val="0"/>
              <w:keepLines/>
              <w:widowControl/>
              <w:suppressLineNumbers w:val="0"/>
              <w:ind w:left="0" w:leftChars="0" w:firstLine="0" w:firstLineChars="0"/>
              <w:jc w:val="both"/>
              <w:textAlignment w:val="center"/>
              <w:rPr>
                <w:rFonts w:hint="eastAsia" w:eastAsia="宋体" w:cs="Times New Roman"/>
                <w:sz w:val="24"/>
                <w:szCs w:val="24"/>
                <w:highlight w:val="none"/>
              </w:rPr>
            </w:pPr>
            <w:r>
              <w:rPr>
                <w:rFonts w:hint="eastAsia" w:eastAsia="宋体" w:cs="Times New Roman"/>
                <w:sz w:val="24"/>
                <w:szCs w:val="24"/>
                <w:highlight w:val="none"/>
              </w:rPr>
              <w:t>在物流、运输行业，积极引导相关企业扩大电力、氢能、天然气等新能源、清洁能源应用。大力推广新能源运输工具，推动公共领域车辆电动化，有序推广新能源中重型货车，发展零排放货运车队，逐步降低物流企业传统燃油汽车占比，推广电力、氢燃料、液化天然气动力重型货运车辆在企业中的使用。</w:t>
            </w:r>
          </w:p>
        </w:tc>
        <w:tc>
          <w:tcPr>
            <w:tcW w:w="654" w:type="pct"/>
            <w:vMerge w:val="continue"/>
            <w:shd w:val="clear" w:color="auto" w:fill="auto"/>
            <w:vAlign w:val="center"/>
          </w:tcPr>
          <w:p w14:paraId="31B97D4F">
            <w:pPr>
              <w:keepNext w:val="0"/>
              <w:keepLines/>
              <w:widowControl/>
              <w:suppressLineNumbers w:val="0"/>
              <w:ind w:left="0" w:leftChars="0" w:firstLine="0" w:firstLineChars="0"/>
              <w:jc w:val="center"/>
              <w:textAlignment w:val="center"/>
              <w:rPr>
                <w:rFonts w:hint="eastAsia" w:eastAsia="宋体" w:cs="Times New Roman"/>
                <w:sz w:val="24"/>
                <w:szCs w:val="24"/>
                <w:highlight w:val="none"/>
              </w:rPr>
            </w:pPr>
          </w:p>
        </w:tc>
      </w:tr>
      <w:tr w14:paraId="10B64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8" w:type="pct"/>
            <w:vAlign w:val="center"/>
          </w:tcPr>
          <w:p w14:paraId="02A2BDFD">
            <w:pPr>
              <w:keepNext w:val="0"/>
              <w:keepLines/>
              <w:widowControl/>
              <w:numPr>
                <w:ilvl w:val="0"/>
                <w:numId w:val="1"/>
              </w:numPr>
              <w:suppressLineNumbers w:val="0"/>
              <w:tabs>
                <w:tab w:val="clear" w:pos="0"/>
              </w:tabs>
              <w:ind w:left="454" w:leftChars="0" w:hanging="454" w:firstLineChars="0"/>
              <w:jc w:val="center"/>
              <w:textAlignment w:val="center"/>
              <w:rPr>
                <w:rFonts w:hint="eastAsia" w:eastAsia="宋体" w:cs="Times New Roman"/>
                <w:kern w:val="2"/>
                <w:sz w:val="24"/>
                <w:szCs w:val="24"/>
                <w:highlight w:val="none"/>
                <w:lang w:val="en-US" w:eastAsia="zh-CN" w:bidi="ar-SA"/>
              </w:rPr>
            </w:pPr>
          </w:p>
        </w:tc>
        <w:tc>
          <w:tcPr>
            <w:tcW w:w="325" w:type="pct"/>
            <w:vMerge w:val="restart"/>
            <w:vAlign w:val="center"/>
          </w:tcPr>
          <w:p w14:paraId="7F7E9DCF">
            <w:pPr>
              <w:pStyle w:val="35"/>
              <w:keepNext w:val="0"/>
              <w:keepLines/>
              <w:pageBreakBefore w:val="0"/>
              <w:widowControl/>
              <w:kinsoku/>
              <w:wordWrap/>
              <w:overflowPunct w:val="0"/>
              <w:topLinePunct w:val="0"/>
              <w:autoSpaceDE/>
              <w:autoSpaceDN/>
              <w:bidi w:val="0"/>
              <w:adjustRightInd/>
              <w:snapToGrid w:val="0"/>
              <w:ind w:firstLine="0" w:firstLineChars="0"/>
              <w:jc w:val="center"/>
              <w:textAlignment w:val="auto"/>
              <w:rPr>
                <w:rFonts w:hint="default" w:cs="Times New Roman"/>
                <w:highlight w:val="none"/>
                <w:lang w:val="en-US" w:eastAsia="zh-CN"/>
              </w:rPr>
            </w:pPr>
            <w:r>
              <w:rPr>
                <w:rFonts w:hint="eastAsia" w:cs="Times New Roman"/>
                <w:highlight w:val="none"/>
              </w:rPr>
              <w:t>大力推动资源循环利用</w:t>
            </w:r>
          </w:p>
        </w:tc>
        <w:tc>
          <w:tcPr>
            <w:tcW w:w="328" w:type="pct"/>
            <w:shd w:val="clear" w:color="auto" w:fill="auto"/>
            <w:vAlign w:val="center"/>
          </w:tcPr>
          <w:p w14:paraId="313E59B3">
            <w:pPr>
              <w:keepNext w:val="0"/>
              <w:keepLines/>
              <w:widowControl/>
              <w:suppressLineNumbers w:val="0"/>
              <w:ind w:left="0" w:leftChars="0" w:firstLine="0" w:firstLineChars="0"/>
              <w:jc w:val="center"/>
              <w:textAlignment w:val="center"/>
              <w:rPr>
                <w:rFonts w:hint="default" w:eastAsia="宋体" w:cs="Times New Roman"/>
                <w:sz w:val="24"/>
                <w:szCs w:val="24"/>
                <w:highlight w:val="none"/>
                <w:lang w:val="en-US" w:eastAsia="zh-CN"/>
              </w:rPr>
            </w:pPr>
            <w:r>
              <w:rPr>
                <w:rFonts w:hint="eastAsia" w:eastAsia="宋体" w:cs="Times New Roman"/>
                <w:sz w:val="24"/>
                <w:szCs w:val="24"/>
                <w:highlight w:val="none"/>
              </w:rPr>
              <w:t>深化资源循环利用体系建设</w:t>
            </w:r>
          </w:p>
        </w:tc>
        <w:tc>
          <w:tcPr>
            <w:tcW w:w="3414" w:type="pct"/>
            <w:gridSpan w:val="2"/>
            <w:shd w:val="clear" w:color="auto" w:fill="auto"/>
            <w:vAlign w:val="center"/>
          </w:tcPr>
          <w:p w14:paraId="0A6BF956">
            <w:pPr>
              <w:keepNext w:val="0"/>
              <w:keepLines/>
              <w:widowControl/>
              <w:suppressLineNumbers w:val="0"/>
              <w:ind w:left="0" w:leftChars="0" w:firstLine="0" w:firstLineChars="0"/>
              <w:jc w:val="both"/>
              <w:textAlignment w:val="center"/>
              <w:rPr>
                <w:rFonts w:hint="eastAsia" w:eastAsia="宋体" w:cs="Times New Roman"/>
                <w:sz w:val="24"/>
                <w:szCs w:val="24"/>
                <w:highlight w:val="none"/>
                <w:lang w:eastAsia="zh-CN"/>
              </w:rPr>
            </w:pPr>
            <w:r>
              <w:rPr>
                <w:rFonts w:hint="eastAsia" w:eastAsia="宋体" w:cs="Times New Roman"/>
                <w:sz w:val="24"/>
                <w:szCs w:val="24"/>
                <w:highlight w:val="none"/>
              </w:rPr>
              <w:t>持续巩固国家园区循环化改造示范试点成果，不断推动产业转型升级</w:t>
            </w:r>
            <w:r>
              <w:rPr>
                <w:rFonts w:hint="eastAsia" w:eastAsia="宋体" w:cs="Times New Roman"/>
                <w:sz w:val="24"/>
                <w:szCs w:val="24"/>
                <w:highlight w:val="none"/>
                <w:lang w:eastAsia="zh-CN"/>
              </w:rPr>
              <w:t>；</w:t>
            </w:r>
            <w:r>
              <w:rPr>
                <w:rFonts w:hint="eastAsia" w:eastAsia="宋体" w:cs="Times New Roman"/>
                <w:sz w:val="24"/>
                <w:szCs w:val="24"/>
                <w:highlight w:val="none"/>
              </w:rPr>
              <w:t>促进全区废弃物综合利用，深化能源资源梯级利用，推进工业余热余压、废气废液废渣资源化利用，重点实施合盛硅业8万千瓦工业硅烟气余热发电项目。鼓励化工、水泥等企业按热品位高低进行能量梯级利用，实现工业生产流程与设备运行参数的综合优化</w:t>
            </w:r>
            <w:r>
              <w:rPr>
                <w:rFonts w:hint="eastAsia" w:eastAsia="宋体" w:cs="Times New Roman"/>
                <w:sz w:val="24"/>
                <w:szCs w:val="24"/>
                <w:highlight w:val="none"/>
                <w:lang w:eastAsia="zh-CN"/>
              </w:rPr>
              <w:t>。</w:t>
            </w:r>
          </w:p>
        </w:tc>
        <w:tc>
          <w:tcPr>
            <w:tcW w:w="654" w:type="pct"/>
            <w:shd w:val="clear" w:color="auto" w:fill="auto"/>
            <w:vAlign w:val="center"/>
          </w:tcPr>
          <w:p w14:paraId="4C910321">
            <w:pPr>
              <w:keepNext w:val="0"/>
              <w:keepLines/>
              <w:widowControl/>
              <w:suppressLineNumbers w:val="0"/>
              <w:ind w:left="0" w:leftChars="0" w:firstLine="0" w:firstLineChars="0"/>
              <w:jc w:val="center"/>
              <w:textAlignment w:val="center"/>
              <w:rPr>
                <w:rFonts w:hint="eastAsia" w:eastAsia="宋体" w:cs="Times New Roman"/>
                <w:sz w:val="24"/>
                <w:szCs w:val="24"/>
                <w:highlight w:val="none"/>
                <w:lang w:eastAsia="zh-CN"/>
              </w:rPr>
            </w:pPr>
            <w:r>
              <w:rPr>
                <w:rFonts w:hint="eastAsia" w:eastAsia="宋体" w:cs="Times New Roman"/>
                <w:sz w:val="24"/>
                <w:szCs w:val="24"/>
                <w:highlight w:val="none"/>
                <w:lang w:eastAsia="zh-CN"/>
              </w:rPr>
              <w:t>经济发展局</w:t>
            </w:r>
            <w:r>
              <w:rPr>
                <w:rFonts w:hint="eastAsia" w:eastAsia="宋体" w:cs="Times New Roman"/>
                <w:sz w:val="24"/>
                <w:szCs w:val="24"/>
                <w:highlight w:val="none"/>
              </w:rPr>
              <w:t>、</w:t>
            </w:r>
            <w:r>
              <w:rPr>
                <w:rFonts w:hint="eastAsia" w:eastAsia="宋体" w:cs="Times New Roman"/>
                <w:sz w:val="24"/>
                <w:szCs w:val="24"/>
                <w:highlight w:val="none"/>
                <w:lang w:eastAsia="zh-CN"/>
              </w:rPr>
              <w:t>投资促进局</w:t>
            </w:r>
            <w:r>
              <w:rPr>
                <w:rFonts w:hint="eastAsia" w:eastAsia="宋体" w:cs="Times New Roman"/>
                <w:sz w:val="24"/>
                <w:szCs w:val="24"/>
                <w:highlight w:val="none"/>
              </w:rPr>
              <w:t>、</w:t>
            </w:r>
            <w:r>
              <w:rPr>
                <w:rFonts w:hint="eastAsia" w:eastAsia="宋体" w:cs="Times New Roman"/>
                <w:sz w:val="24"/>
                <w:szCs w:val="24"/>
                <w:highlight w:val="none"/>
                <w:lang w:eastAsia="zh-CN"/>
              </w:rPr>
              <w:t>规划建设局</w:t>
            </w:r>
          </w:p>
        </w:tc>
      </w:tr>
      <w:tr w14:paraId="26155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8" w:type="pct"/>
            <w:vAlign w:val="center"/>
          </w:tcPr>
          <w:p w14:paraId="7E17E444">
            <w:pPr>
              <w:keepNext w:val="0"/>
              <w:keepLines/>
              <w:widowControl/>
              <w:numPr>
                <w:ilvl w:val="0"/>
                <w:numId w:val="1"/>
              </w:numPr>
              <w:suppressLineNumbers w:val="0"/>
              <w:tabs>
                <w:tab w:val="clear" w:pos="0"/>
              </w:tabs>
              <w:ind w:left="454" w:leftChars="0" w:hanging="454" w:firstLineChars="0"/>
              <w:jc w:val="center"/>
              <w:textAlignment w:val="center"/>
              <w:rPr>
                <w:rFonts w:hint="eastAsia" w:eastAsia="宋体" w:cs="Times New Roman"/>
                <w:kern w:val="2"/>
                <w:sz w:val="24"/>
                <w:szCs w:val="24"/>
                <w:highlight w:val="none"/>
                <w:lang w:val="en-US" w:eastAsia="zh-CN" w:bidi="ar-SA"/>
              </w:rPr>
            </w:pPr>
          </w:p>
        </w:tc>
        <w:tc>
          <w:tcPr>
            <w:tcW w:w="325" w:type="pct"/>
            <w:vMerge w:val="continue"/>
            <w:vAlign w:val="center"/>
          </w:tcPr>
          <w:p w14:paraId="09A16A9A">
            <w:pPr>
              <w:pStyle w:val="35"/>
              <w:keepNext w:val="0"/>
              <w:keepLines/>
              <w:pageBreakBefore w:val="0"/>
              <w:widowControl/>
              <w:kinsoku/>
              <w:wordWrap/>
              <w:overflowPunct w:val="0"/>
              <w:topLinePunct w:val="0"/>
              <w:autoSpaceDE/>
              <w:autoSpaceDN/>
              <w:bidi w:val="0"/>
              <w:adjustRightInd/>
              <w:snapToGrid w:val="0"/>
              <w:ind w:firstLine="0" w:firstLineChars="0"/>
              <w:jc w:val="center"/>
              <w:textAlignment w:val="auto"/>
              <w:rPr>
                <w:rFonts w:hint="eastAsia" w:cs="Times New Roman"/>
                <w:highlight w:val="none"/>
                <w:lang w:val="en-US" w:eastAsia="zh-CN"/>
              </w:rPr>
            </w:pPr>
          </w:p>
        </w:tc>
        <w:tc>
          <w:tcPr>
            <w:tcW w:w="328" w:type="pct"/>
            <w:shd w:val="clear" w:color="auto" w:fill="auto"/>
            <w:vAlign w:val="center"/>
          </w:tcPr>
          <w:p w14:paraId="2FD0247D">
            <w:pPr>
              <w:keepNext w:val="0"/>
              <w:keepLines/>
              <w:widowControl/>
              <w:suppressLineNumbers w:val="0"/>
              <w:ind w:left="0" w:leftChars="0" w:firstLine="0" w:firstLineChars="0"/>
              <w:jc w:val="center"/>
              <w:textAlignment w:val="center"/>
              <w:rPr>
                <w:rFonts w:hint="eastAsia" w:eastAsia="宋体" w:cs="Times New Roman"/>
                <w:sz w:val="24"/>
                <w:szCs w:val="24"/>
                <w:highlight w:val="none"/>
              </w:rPr>
            </w:pPr>
            <w:r>
              <w:rPr>
                <w:rFonts w:hint="eastAsia" w:eastAsia="宋体" w:cs="Times New Roman"/>
                <w:sz w:val="24"/>
                <w:szCs w:val="24"/>
                <w:highlight w:val="none"/>
              </w:rPr>
              <w:t>推动水资源高效循环利用</w:t>
            </w:r>
          </w:p>
        </w:tc>
        <w:tc>
          <w:tcPr>
            <w:tcW w:w="3414" w:type="pct"/>
            <w:gridSpan w:val="2"/>
            <w:shd w:val="clear" w:color="auto" w:fill="auto"/>
            <w:vAlign w:val="center"/>
          </w:tcPr>
          <w:p w14:paraId="47645C1C">
            <w:pPr>
              <w:keepNext w:val="0"/>
              <w:keepLines/>
              <w:widowControl/>
              <w:suppressLineNumbers w:val="0"/>
              <w:ind w:left="0" w:leftChars="0" w:firstLine="0" w:firstLineChars="0"/>
              <w:jc w:val="both"/>
              <w:textAlignment w:val="center"/>
              <w:rPr>
                <w:rFonts w:hint="eastAsia" w:eastAsia="宋体" w:cs="Times New Roman"/>
                <w:sz w:val="24"/>
                <w:szCs w:val="24"/>
                <w:highlight w:val="none"/>
                <w:lang w:eastAsia="zh-CN"/>
              </w:rPr>
            </w:pPr>
            <w:r>
              <w:rPr>
                <w:rFonts w:hint="eastAsia" w:eastAsia="宋体" w:cs="Times New Roman"/>
                <w:sz w:val="24"/>
                <w:szCs w:val="24"/>
                <w:highlight w:val="none"/>
              </w:rPr>
              <w:t>推行节水工艺设计，强化公共用水管理</w:t>
            </w:r>
            <w:r>
              <w:rPr>
                <w:rFonts w:hint="eastAsia" w:eastAsia="宋体" w:cs="Times New Roman"/>
                <w:sz w:val="24"/>
                <w:szCs w:val="24"/>
                <w:highlight w:val="none"/>
                <w:lang w:eastAsia="zh-CN"/>
              </w:rPr>
              <w:t>；</w:t>
            </w:r>
            <w:r>
              <w:rPr>
                <w:rFonts w:hint="eastAsia" w:eastAsia="宋体" w:cs="Times New Roman"/>
                <w:sz w:val="24"/>
                <w:szCs w:val="24"/>
                <w:highlight w:val="none"/>
              </w:rPr>
              <w:t>加强建设项目水资源论证管理，新进项目必须进行水资源论证</w:t>
            </w:r>
            <w:r>
              <w:rPr>
                <w:rFonts w:hint="eastAsia" w:eastAsia="宋体" w:cs="Times New Roman"/>
                <w:sz w:val="24"/>
                <w:szCs w:val="24"/>
                <w:highlight w:val="yellow"/>
                <w:lang w:val="en-US" w:eastAsia="zh-CN"/>
              </w:rPr>
              <w:t>或节水评价</w:t>
            </w:r>
            <w:r>
              <w:rPr>
                <w:rFonts w:hint="eastAsia" w:eastAsia="宋体" w:cs="Times New Roman"/>
                <w:sz w:val="24"/>
                <w:szCs w:val="24"/>
                <w:highlight w:val="none"/>
              </w:rPr>
              <w:t>。建立健全再生水利用政策机制，提高再生水利用效率，推动再生水利用试点城市建设</w:t>
            </w:r>
            <w:r>
              <w:rPr>
                <w:rFonts w:hint="eastAsia" w:eastAsia="宋体" w:cs="Times New Roman"/>
                <w:sz w:val="24"/>
                <w:szCs w:val="24"/>
                <w:highlight w:val="none"/>
                <w:lang w:eastAsia="zh-CN"/>
              </w:rPr>
              <w:t>；</w:t>
            </w:r>
            <w:r>
              <w:rPr>
                <w:rFonts w:hint="eastAsia" w:eastAsia="宋体" w:cs="Times New Roman"/>
                <w:sz w:val="24"/>
                <w:szCs w:val="24"/>
                <w:highlight w:val="none"/>
              </w:rPr>
              <w:t>全力保障石河子市第二污水处理厂、化工新材料产业园污水处理厂中水回用设施正常运营，完善中水回用管网建设，改造升级北工业园区印染污水处理厂治污设施</w:t>
            </w:r>
            <w:r>
              <w:rPr>
                <w:rFonts w:hint="eastAsia" w:eastAsia="宋体" w:cs="Times New Roman"/>
                <w:sz w:val="24"/>
                <w:szCs w:val="24"/>
                <w:highlight w:val="none"/>
                <w:lang w:eastAsia="zh-CN"/>
              </w:rPr>
              <w:t>。</w:t>
            </w:r>
          </w:p>
        </w:tc>
        <w:tc>
          <w:tcPr>
            <w:tcW w:w="654" w:type="pct"/>
            <w:vMerge w:val="restart"/>
            <w:shd w:val="clear" w:color="auto" w:fill="auto"/>
            <w:vAlign w:val="center"/>
          </w:tcPr>
          <w:p w14:paraId="531401DE">
            <w:pPr>
              <w:keepNext w:val="0"/>
              <w:keepLines/>
              <w:widowControl/>
              <w:suppressLineNumbers w:val="0"/>
              <w:ind w:left="0" w:leftChars="0" w:firstLine="0" w:firstLineChars="0"/>
              <w:jc w:val="center"/>
              <w:textAlignment w:val="center"/>
              <w:rPr>
                <w:rFonts w:hint="eastAsia" w:eastAsia="宋体" w:cs="Times New Roman"/>
                <w:sz w:val="24"/>
                <w:szCs w:val="24"/>
                <w:highlight w:val="none"/>
              </w:rPr>
            </w:pPr>
            <w:r>
              <w:rPr>
                <w:rFonts w:hint="eastAsia" w:eastAsia="宋体" w:cs="Times New Roman"/>
                <w:sz w:val="24"/>
                <w:szCs w:val="24"/>
                <w:highlight w:val="none"/>
                <w:lang w:eastAsia="zh-CN"/>
              </w:rPr>
              <w:t>经济发展局</w:t>
            </w:r>
            <w:r>
              <w:rPr>
                <w:rFonts w:hint="eastAsia" w:eastAsia="宋体" w:cs="Times New Roman"/>
                <w:sz w:val="24"/>
                <w:szCs w:val="24"/>
                <w:highlight w:val="none"/>
              </w:rPr>
              <w:t>、</w:t>
            </w:r>
            <w:r>
              <w:rPr>
                <w:rFonts w:hint="eastAsia" w:eastAsia="宋体" w:cs="Times New Roman"/>
                <w:sz w:val="24"/>
                <w:szCs w:val="24"/>
                <w:highlight w:val="none"/>
                <w:lang w:eastAsia="zh-CN"/>
              </w:rPr>
              <w:t>投资促进局</w:t>
            </w:r>
            <w:r>
              <w:rPr>
                <w:rFonts w:hint="eastAsia" w:eastAsia="宋体" w:cs="Times New Roman"/>
                <w:sz w:val="24"/>
                <w:szCs w:val="24"/>
                <w:highlight w:val="none"/>
              </w:rPr>
              <w:t>、</w:t>
            </w:r>
            <w:r>
              <w:rPr>
                <w:rFonts w:hint="eastAsia" w:eastAsia="宋体" w:cs="Times New Roman"/>
                <w:sz w:val="24"/>
                <w:szCs w:val="24"/>
                <w:highlight w:val="none"/>
                <w:lang w:eastAsia="zh-CN"/>
              </w:rPr>
              <w:t>规划建设局</w:t>
            </w:r>
            <w:r>
              <w:rPr>
                <w:rFonts w:hint="eastAsia" w:eastAsia="宋体" w:cs="Times New Roman"/>
                <w:sz w:val="24"/>
                <w:szCs w:val="24"/>
                <w:highlight w:val="none"/>
              </w:rPr>
              <w:t>、十户滩新材料工业园区管理办公室</w:t>
            </w:r>
          </w:p>
        </w:tc>
      </w:tr>
      <w:tr w14:paraId="0524A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8" w:type="pct"/>
            <w:vAlign w:val="center"/>
          </w:tcPr>
          <w:p w14:paraId="6100C09D">
            <w:pPr>
              <w:keepNext w:val="0"/>
              <w:keepLines/>
              <w:widowControl/>
              <w:numPr>
                <w:ilvl w:val="0"/>
                <w:numId w:val="1"/>
              </w:numPr>
              <w:suppressLineNumbers w:val="0"/>
              <w:tabs>
                <w:tab w:val="clear" w:pos="0"/>
              </w:tabs>
              <w:ind w:left="454" w:leftChars="0" w:hanging="454" w:firstLineChars="0"/>
              <w:jc w:val="center"/>
              <w:textAlignment w:val="center"/>
              <w:rPr>
                <w:rFonts w:hint="eastAsia" w:eastAsia="宋体" w:cs="Times New Roman"/>
                <w:kern w:val="2"/>
                <w:sz w:val="24"/>
                <w:szCs w:val="24"/>
                <w:highlight w:val="none"/>
                <w:lang w:val="en-US" w:eastAsia="zh-CN" w:bidi="ar-SA"/>
              </w:rPr>
            </w:pPr>
          </w:p>
        </w:tc>
        <w:tc>
          <w:tcPr>
            <w:tcW w:w="325" w:type="pct"/>
            <w:vMerge w:val="continue"/>
            <w:vAlign w:val="center"/>
          </w:tcPr>
          <w:p w14:paraId="1B73D5E3">
            <w:pPr>
              <w:pStyle w:val="35"/>
              <w:keepNext w:val="0"/>
              <w:keepLines/>
              <w:pageBreakBefore w:val="0"/>
              <w:widowControl/>
              <w:kinsoku/>
              <w:wordWrap/>
              <w:overflowPunct w:val="0"/>
              <w:topLinePunct w:val="0"/>
              <w:autoSpaceDE/>
              <w:autoSpaceDN/>
              <w:bidi w:val="0"/>
              <w:adjustRightInd/>
              <w:snapToGrid w:val="0"/>
              <w:ind w:firstLine="0" w:firstLineChars="0"/>
              <w:jc w:val="center"/>
              <w:textAlignment w:val="auto"/>
              <w:rPr>
                <w:rFonts w:hint="eastAsia" w:cs="Times New Roman"/>
                <w:highlight w:val="none"/>
                <w:lang w:val="en-US" w:eastAsia="zh-CN"/>
              </w:rPr>
            </w:pPr>
          </w:p>
        </w:tc>
        <w:tc>
          <w:tcPr>
            <w:tcW w:w="328" w:type="pct"/>
            <w:shd w:val="clear" w:color="auto" w:fill="auto"/>
            <w:vAlign w:val="center"/>
          </w:tcPr>
          <w:p w14:paraId="5BF8BBAD">
            <w:pPr>
              <w:keepNext w:val="0"/>
              <w:keepLines/>
              <w:widowControl/>
              <w:suppressLineNumbers w:val="0"/>
              <w:ind w:left="0" w:leftChars="0" w:firstLine="0" w:firstLineChars="0"/>
              <w:jc w:val="center"/>
              <w:textAlignment w:val="center"/>
              <w:rPr>
                <w:rFonts w:hint="eastAsia" w:eastAsia="宋体" w:cs="Times New Roman"/>
                <w:sz w:val="24"/>
                <w:szCs w:val="24"/>
                <w:highlight w:val="none"/>
              </w:rPr>
            </w:pPr>
            <w:r>
              <w:rPr>
                <w:rFonts w:hint="eastAsia" w:eastAsia="宋体" w:cs="Times New Roman"/>
                <w:sz w:val="24"/>
                <w:szCs w:val="24"/>
                <w:highlight w:val="none"/>
              </w:rPr>
              <w:t>加强大宗工业固体废物综合利用</w:t>
            </w:r>
          </w:p>
        </w:tc>
        <w:tc>
          <w:tcPr>
            <w:tcW w:w="3414" w:type="pct"/>
            <w:gridSpan w:val="2"/>
            <w:shd w:val="clear" w:color="auto" w:fill="auto"/>
            <w:vAlign w:val="center"/>
          </w:tcPr>
          <w:p w14:paraId="5998AE7A">
            <w:pPr>
              <w:keepNext w:val="0"/>
              <w:keepLines/>
              <w:widowControl/>
              <w:suppressLineNumbers w:val="0"/>
              <w:ind w:left="0" w:leftChars="0" w:firstLine="0" w:firstLineChars="0"/>
              <w:jc w:val="both"/>
              <w:textAlignment w:val="center"/>
              <w:rPr>
                <w:rFonts w:hint="eastAsia" w:eastAsia="宋体" w:cs="Times New Roman"/>
                <w:sz w:val="24"/>
                <w:szCs w:val="24"/>
                <w:highlight w:val="none"/>
                <w:lang w:eastAsia="zh-CN"/>
              </w:rPr>
            </w:pPr>
            <w:r>
              <w:rPr>
                <w:rFonts w:hint="eastAsia" w:eastAsia="宋体" w:cs="Times New Roman"/>
                <w:sz w:val="24"/>
                <w:szCs w:val="24"/>
                <w:highlight w:val="none"/>
              </w:rPr>
              <w:t>推动建筑垃圾、医疗废物、废钢、废纸等分类利用和集中处置，强化危险废物监管和利用处置，落实有毒有害化学物质环境风险管控要求</w:t>
            </w:r>
            <w:r>
              <w:rPr>
                <w:rFonts w:hint="eastAsia" w:eastAsia="宋体" w:cs="Times New Roman"/>
                <w:sz w:val="24"/>
                <w:szCs w:val="24"/>
                <w:highlight w:val="none"/>
                <w:lang w:eastAsia="zh-CN"/>
              </w:rPr>
              <w:t>；</w:t>
            </w:r>
            <w:r>
              <w:rPr>
                <w:rFonts w:hint="eastAsia" w:eastAsia="宋体" w:cs="Times New Roman"/>
                <w:sz w:val="24"/>
                <w:szCs w:val="24"/>
                <w:highlight w:val="none"/>
              </w:rPr>
              <w:t>提高煤灰渣、气化炉渣、脱硫石膏、电石渣等工业大宗固废规模化、高值化综合利用</w:t>
            </w:r>
            <w:r>
              <w:rPr>
                <w:rFonts w:hint="eastAsia" w:eastAsia="宋体" w:cs="Times New Roman"/>
                <w:sz w:val="24"/>
                <w:szCs w:val="24"/>
                <w:highlight w:val="none"/>
                <w:lang w:eastAsia="zh-CN"/>
              </w:rPr>
              <w:t>。</w:t>
            </w:r>
          </w:p>
        </w:tc>
        <w:tc>
          <w:tcPr>
            <w:tcW w:w="654" w:type="pct"/>
            <w:vMerge w:val="continue"/>
            <w:shd w:val="clear" w:color="auto" w:fill="auto"/>
            <w:vAlign w:val="center"/>
          </w:tcPr>
          <w:p w14:paraId="5F9B4BB5">
            <w:pPr>
              <w:keepNext w:val="0"/>
              <w:keepLines/>
              <w:widowControl/>
              <w:suppressLineNumbers w:val="0"/>
              <w:ind w:left="0" w:leftChars="0" w:firstLine="0" w:firstLineChars="0"/>
              <w:jc w:val="center"/>
              <w:textAlignment w:val="center"/>
              <w:rPr>
                <w:rFonts w:hint="eastAsia" w:eastAsia="宋体" w:cs="Times New Roman"/>
                <w:sz w:val="24"/>
                <w:szCs w:val="24"/>
                <w:highlight w:val="none"/>
              </w:rPr>
            </w:pPr>
          </w:p>
        </w:tc>
      </w:tr>
      <w:tr w14:paraId="1B2D8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8" w:type="pct"/>
            <w:vAlign w:val="center"/>
          </w:tcPr>
          <w:p w14:paraId="0D6B06B8">
            <w:pPr>
              <w:keepNext w:val="0"/>
              <w:keepLines/>
              <w:widowControl/>
              <w:numPr>
                <w:ilvl w:val="0"/>
                <w:numId w:val="1"/>
              </w:numPr>
              <w:suppressLineNumbers w:val="0"/>
              <w:tabs>
                <w:tab w:val="clear" w:pos="0"/>
              </w:tabs>
              <w:ind w:left="454" w:leftChars="0" w:hanging="454" w:firstLineChars="0"/>
              <w:jc w:val="center"/>
              <w:textAlignment w:val="center"/>
              <w:rPr>
                <w:rFonts w:hint="eastAsia" w:eastAsia="宋体" w:cs="Times New Roman"/>
                <w:kern w:val="2"/>
                <w:sz w:val="24"/>
                <w:szCs w:val="24"/>
                <w:highlight w:val="none"/>
                <w:lang w:val="en-US" w:eastAsia="zh-CN" w:bidi="ar-SA"/>
              </w:rPr>
            </w:pPr>
          </w:p>
        </w:tc>
        <w:tc>
          <w:tcPr>
            <w:tcW w:w="325" w:type="pct"/>
            <w:vMerge w:val="continue"/>
            <w:vAlign w:val="center"/>
          </w:tcPr>
          <w:p w14:paraId="1617F2CC">
            <w:pPr>
              <w:pStyle w:val="35"/>
              <w:keepNext w:val="0"/>
              <w:keepLines/>
              <w:pageBreakBefore w:val="0"/>
              <w:widowControl/>
              <w:kinsoku/>
              <w:wordWrap/>
              <w:overflowPunct w:val="0"/>
              <w:topLinePunct w:val="0"/>
              <w:autoSpaceDE/>
              <w:autoSpaceDN/>
              <w:bidi w:val="0"/>
              <w:adjustRightInd/>
              <w:snapToGrid w:val="0"/>
              <w:ind w:firstLine="0" w:firstLineChars="0"/>
              <w:jc w:val="center"/>
              <w:textAlignment w:val="auto"/>
              <w:rPr>
                <w:rFonts w:hint="eastAsia" w:cs="Times New Roman"/>
                <w:highlight w:val="none"/>
                <w:lang w:val="en-US" w:eastAsia="zh-CN"/>
              </w:rPr>
            </w:pPr>
          </w:p>
        </w:tc>
        <w:tc>
          <w:tcPr>
            <w:tcW w:w="328" w:type="pct"/>
            <w:shd w:val="clear" w:color="auto" w:fill="auto"/>
            <w:vAlign w:val="center"/>
          </w:tcPr>
          <w:p w14:paraId="22B701E7">
            <w:pPr>
              <w:keepNext w:val="0"/>
              <w:keepLines/>
              <w:widowControl/>
              <w:suppressLineNumbers w:val="0"/>
              <w:ind w:left="0" w:leftChars="0" w:firstLine="0" w:firstLineChars="0"/>
              <w:jc w:val="center"/>
              <w:textAlignment w:val="center"/>
              <w:rPr>
                <w:rFonts w:hint="eastAsia" w:eastAsia="宋体" w:cs="Times New Roman"/>
                <w:sz w:val="24"/>
                <w:szCs w:val="24"/>
                <w:highlight w:val="none"/>
              </w:rPr>
            </w:pPr>
            <w:r>
              <w:rPr>
                <w:rFonts w:hint="eastAsia" w:eastAsia="宋体" w:cs="Times New Roman"/>
                <w:sz w:val="24"/>
                <w:szCs w:val="24"/>
                <w:highlight w:val="none"/>
              </w:rPr>
              <w:t>加快用能产品设备更新改造</w:t>
            </w:r>
          </w:p>
        </w:tc>
        <w:tc>
          <w:tcPr>
            <w:tcW w:w="3414" w:type="pct"/>
            <w:gridSpan w:val="2"/>
            <w:shd w:val="clear" w:color="auto" w:fill="auto"/>
            <w:vAlign w:val="center"/>
          </w:tcPr>
          <w:p w14:paraId="29D4B7C8">
            <w:pPr>
              <w:keepNext w:val="0"/>
              <w:keepLines/>
              <w:widowControl/>
              <w:suppressLineNumbers w:val="0"/>
              <w:ind w:left="0" w:leftChars="0" w:firstLine="0" w:firstLineChars="0"/>
              <w:jc w:val="both"/>
              <w:textAlignment w:val="center"/>
              <w:rPr>
                <w:rFonts w:hint="eastAsia" w:eastAsia="宋体" w:cs="Times New Roman"/>
                <w:sz w:val="24"/>
                <w:szCs w:val="24"/>
                <w:highlight w:val="none"/>
                <w:lang w:eastAsia="zh-CN"/>
              </w:rPr>
            </w:pPr>
            <w:r>
              <w:rPr>
                <w:rFonts w:hint="eastAsia" w:eastAsia="宋体" w:cs="Times New Roman"/>
                <w:sz w:val="24"/>
                <w:szCs w:val="24"/>
                <w:highlight w:val="none"/>
              </w:rPr>
              <w:t>重点开展企业废旧设备回收处置，加快老旧设备淘汰进程</w:t>
            </w:r>
            <w:r>
              <w:rPr>
                <w:rFonts w:hint="eastAsia" w:eastAsia="宋体" w:cs="Times New Roman"/>
                <w:sz w:val="24"/>
                <w:szCs w:val="24"/>
                <w:highlight w:val="none"/>
                <w:lang w:eastAsia="zh-CN"/>
              </w:rPr>
              <w:t>；</w:t>
            </w:r>
            <w:r>
              <w:rPr>
                <w:rFonts w:hint="eastAsia" w:eastAsia="宋体" w:cs="Times New Roman"/>
                <w:sz w:val="24"/>
                <w:szCs w:val="24"/>
                <w:highlight w:val="none"/>
              </w:rPr>
              <w:t>用好超长期特别国债大规模设备更新专项资金，支持工业重点领域、环境基础设施、交通运输设备设施、用能设备、能源电力设施、回收循环利用领域等节能降碳改造和设备更新</w:t>
            </w:r>
            <w:r>
              <w:rPr>
                <w:rFonts w:hint="eastAsia" w:eastAsia="宋体" w:cs="Times New Roman"/>
                <w:sz w:val="24"/>
                <w:szCs w:val="24"/>
                <w:highlight w:val="none"/>
                <w:lang w:eastAsia="zh-CN"/>
              </w:rPr>
              <w:t>。</w:t>
            </w:r>
          </w:p>
        </w:tc>
        <w:tc>
          <w:tcPr>
            <w:tcW w:w="654" w:type="pct"/>
            <w:shd w:val="clear" w:color="auto" w:fill="auto"/>
            <w:vAlign w:val="center"/>
          </w:tcPr>
          <w:p w14:paraId="19B053CF">
            <w:pPr>
              <w:keepNext w:val="0"/>
              <w:keepLines/>
              <w:widowControl/>
              <w:suppressLineNumbers w:val="0"/>
              <w:ind w:left="0" w:leftChars="0" w:firstLine="0" w:firstLineChars="0"/>
              <w:jc w:val="center"/>
              <w:textAlignment w:val="center"/>
              <w:rPr>
                <w:rFonts w:hint="eastAsia" w:eastAsia="宋体" w:cs="Times New Roman"/>
                <w:sz w:val="24"/>
                <w:szCs w:val="24"/>
                <w:highlight w:val="none"/>
              </w:rPr>
            </w:pPr>
            <w:r>
              <w:rPr>
                <w:rFonts w:hint="eastAsia" w:eastAsia="宋体" w:cs="Times New Roman"/>
                <w:sz w:val="24"/>
                <w:szCs w:val="24"/>
                <w:highlight w:val="none"/>
                <w:lang w:eastAsia="zh-CN"/>
              </w:rPr>
              <w:t>经济发展局</w:t>
            </w:r>
            <w:r>
              <w:rPr>
                <w:rFonts w:hint="eastAsia" w:eastAsia="宋体" w:cs="Times New Roman"/>
                <w:sz w:val="24"/>
                <w:szCs w:val="24"/>
                <w:highlight w:val="none"/>
              </w:rPr>
              <w:t>、</w:t>
            </w:r>
            <w:r>
              <w:rPr>
                <w:rFonts w:hint="eastAsia" w:eastAsia="宋体" w:cs="Times New Roman"/>
                <w:sz w:val="24"/>
                <w:szCs w:val="24"/>
                <w:highlight w:val="none"/>
                <w:lang w:eastAsia="zh-CN"/>
              </w:rPr>
              <w:t>投资促进局</w:t>
            </w:r>
            <w:r>
              <w:rPr>
                <w:rFonts w:hint="eastAsia" w:eastAsia="宋体" w:cs="Times New Roman"/>
                <w:sz w:val="24"/>
                <w:szCs w:val="24"/>
                <w:highlight w:val="none"/>
              </w:rPr>
              <w:t>、</w:t>
            </w:r>
            <w:r>
              <w:rPr>
                <w:rFonts w:hint="eastAsia" w:eastAsia="宋体" w:cs="Times New Roman"/>
                <w:sz w:val="24"/>
                <w:szCs w:val="24"/>
                <w:highlight w:val="none"/>
                <w:lang w:eastAsia="zh-CN"/>
              </w:rPr>
              <w:t>财政局</w:t>
            </w:r>
            <w:r>
              <w:rPr>
                <w:rFonts w:hint="eastAsia" w:eastAsia="宋体" w:cs="Times New Roman"/>
                <w:sz w:val="24"/>
                <w:szCs w:val="24"/>
                <w:highlight w:val="none"/>
              </w:rPr>
              <w:t>、</w:t>
            </w:r>
            <w:r>
              <w:rPr>
                <w:rFonts w:hint="eastAsia" w:eastAsia="宋体" w:cs="Times New Roman"/>
                <w:sz w:val="24"/>
                <w:szCs w:val="24"/>
                <w:highlight w:val="none"/>
                <w:lang w:eastAsia="zh-CN"/>
              </w:rPr>
              <w:t>规划建设局</w:t>
            </w:r>
            <w:r>
              <w:rPr>
                <w:rFonts w:hint="eastAsia" w:eastAsia="宋体" w:cs="Times New Roman"/>
                <w:sz w:val="24"/>
                <w:szCs w:val="24"/>
                <w:highlight w:val="none"/>
              </w:rPr>
              <w:t>、十户滩新材料工业园区管理办公室</w:t>
            </w:r>
          </w:p>
        </w:tc>
      </w:tr>
      <w:tr w14:paraId="74B70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8" w:type="pct"/>
            <w:vAlign w:val="center"/>
          </w:tcPr>
          <w:p w14:paraId="53FEB1C0">
            <w:pPr>
              <w:keepNext w:val="0"/>
              <w:keepLines/>
              <w:widowControl/>
              <w:numPr>
                <w:ilvl w:val="0"/>
                <w:numId w:val="1"/>
              </w:numPr>
              <w:suppressLineNumbers w:val="0"/>
              <w:tabs>
                <w:tab w:val="clear" w:pos="0"/>
              </w:tabs>
              <w:ind w:left="454" w:leftChars="0" w:hanging="454" w:firstLineChars="0"/>
              <w:jc w:val="center"/>
              <w:textAlignment w:val="center"/>
              <w:rPr>
                <w:rFonts w:hint="eastAsia" w:eastAsia="宋体" w:cs="Times New Roman"/>
                <w:kern w:val="2"/>
                <w:sz w:val="24"/>
                <w:szCs w:val="24"/>
                <w:highlight w:val="none"/>
                <w:lang w:val="en-US" w:eastAsia="zh-CN" w:bidi="ar-SA"/>
              </w:rPr>
            </w:pPr>
          </w:p>
        </w:tc>
        <w:tc>
          <w:tcPr>
            <w:tcW w:w="325" w:type="pct"/>
            <w:vMerge w:val="restart"/>
            <w:vAlign w:val="center"/>
          </w:tcPr>
          <w:p w14:paraId="636E6D76">
            <w:pPr>
              <w:pStyle w:val="35"/>
              <w:keepNext w:val="0"/>
              <w:keepLines/>
              <w:pageBreakBefore w:val="0"/>
              <w:widowControl/>
              <w:kinsoku/>
              <w:wordWrap/>
              <w:overflowPunct w:val="0"/>
              <w:topLinePunct w:val="0"/>
              <w:autoSpaceDE/>
              <w:autoSpaceDN/>
              <w:bidi w:val="0"/>
              <w:adjustRightInd/>
              <w:snapToGrid w:val="0"/>
              <w:ind w:firstLine="0" w:firstLineChars="0"/>
              <w:jc w:val="center"/>
              <w:textAlignment w:val="auto"/>
              <w:rPr>
                <w:rFonts w:hint="default" w:cs="Times New Roman"/>
                <w:highlight w:val="none"/>
                <w:lang w:val="en-US" w:eastAsia="zh-CN"/>
              </w:rPr>
            </w:pPr>
            <w:r>
              <w:rPr>
                <w:rFonts w:hint="eastAsia" w:cs="Times New Roman"/>
                <w:highlight w:val="none"/>
              </w:rPr>
              <w:t>提升减污降碳协同能力</w:t>
            </w:r>
          </w:p>
        </w:tc>
        <w:tc>
          <w:tcPr>
            <w:tcW w:w="328" w:type="pct"/>
            <w:shd w:val="clear" w:color="auto" w:fill="auto"/>
            <w:vAlign w:val="center"/>
          </w:tcPr>
          <w:p w14:paraId="13D921BE">
            <w:pPr>
              <w:keepNext w:val="0"/>
              <w:keepLines/>
              <w:widowControl/>
              <w:suppressLineNumbers w:val="0"/>
              <w:ind w:left="0" w:leftChars="0" w:firstLine="0" w:firstLineChars="0"/>
              <w:jc w:val="center"/>
              <w:textAlignment w:val="center"/>
              <w:rPr>
                <w:rFonts w:hint="default" w:eastAsia="宋体" w:cs="Times New Roman"/>
                <w:sz w:val="24"/>
                <w:szCs w:val="24"/>
                <w:highlight w:val="none"/>
                <w:lang w:val="en-US" w:eastAsia="zh-CN"/>
              </w:rPr>
            </w:pPr>
            <w:r>
              <w:rPr>
                <w:rFonts w:hint="eastAsia" w:eastAsia="宋体" w:cs="Times New Roman"/>
                <w:sz w:val="24"/>
                <w:szCs w:val="24"/>
                <w:highlight w:val="none"/>
              </w:rPr>
              <w:t>推进减污降碳协同控制</w:t>
            </w:r>
          </w:p>
        </w:tc>
        <w:tc>
          <w:tcPr>
            <w:tcW w:w="3414" w:type="pct"/>
            <w:gridSpan w:val="2"/>
            <w:shd w:val="clear" w:color="auto" w:fill="auto"/>
            <w:vAlign w:val="center"/>
          </w:tcPr>
          <w:p w14:paraId="1895B1B2">
            <w:pPr>
              <w:keepNext w:val="0"/>
              <w:keepLines/>
              <w:widowControl/>
              <w:suppressLineNumbers w:val="0"/>
              <w:ind w:left="0" w:leftChars="0" w:firstLine="0" w:firstLineChars="0"/>
              <w:jc w:val="both"/>
              <w:textAlignment w:val="center"/>
              <w:rPr>
                <w:rFonts w:hint="eastAsia" w:eastAsia="宋体" w:cs="Times New Roman"/>
                <w:sz w:val="24"/>
                <w:szCs w:val="24"/>
                <w:highlight w:val="none"/>
                <w:lang w:eastAsia="zh-CN"/>
              </w:rPr>
            </w:pPr>
            <w:r>
              <w:rPr>
                <w:rFonts w:hint="eastAsia" w:eastAsia="宋体" w:cs="Times New Roman"/>
                <w:sz w:val="24"/>
                <w:szCs w:val="24"/>
                <w:highlight w:val="none"/>
              </w:rPr>
              <w:t>持续打好蓝天、碧水、净土保卫战，严格污染物排放总量控制，推进实施主要污染物重点减排工程，加强环境基础设施建设</w:t>
            </w:r>
            <w:r>
              <w:rPr>
                <w:rFonts w:hint="eastAsia" w:eastAsia="宋体" w:cs="Times New Roman"/>
                <w:sz w:val="24"/>
                <w:szCs w:val="24"/>
                <w:highlight w:val="none"/>
                <w:lang w:eastAsia="zh-CN"/>
              </w:rPr>
              <w:t>。</w:t>
            </w:r>
          </w:p>
        </w:tc>
        <w:tc>
          <w:tcPr>
            <w:tcW w:w="654" w:type="pct"/>
            <w:shd w:val="clear" w:color="auto" w:fill="auto"/>
            <w:vAlign w:val="center"/>
          </w:tcPr>
          <w:p w14:paraId="1E092D72">
            <w:pPr>
              <w:keepNext w:val="0"/>
              <w:keepLines/>
              <w:widowControl/>
              <w:suppressLineNumbers w:val="0"/>
              <w:ind w:left="0" w:leftChars="0" w:firstLine="0" w:firstLineChars="0"/>
              <w:jc w:val="center"/>
              <w:textAlignment w:val="center"/>
              <w:rPr>
                <w:rFonts w:hint="eastAsia" w:eastAsia="宋体" w:cs="Times New Roman"/>
                <w:sz w:val="24"/>
                <w:szCs w:val="24"/>
                <w:highlight w:val="none"/>
              </w:rPr>
            </w:pPr>
            <w:r>
              <w:rPr>
                <w:rFonts w:hint="eastAsia" w:eastAsia="宋体" w:cs="Times New Roman"/>
                <w:sz w:val="24"/>
                <w:szCs w:val="24"/>
                <w:highlight w:val="none"/>
                <w:lang w:eastAsia="zh-CN"/>
              </w:rPr>
              <w:t>经济发展局</w:t>
            </w:r>
            <w:r>
              <w:rPr>
                <w:rFonts w:hint="eastAsia" w:eastAsia="宋体" w:cs="Times New Roman"/>
                <w:sz w:val="24"/>
                <w:szCs w:val="24"/>
                <w:highlight w:val="none"/>
              </w:rPr>
              <w:t>、</w:t>
            </w:r>
            <w:r>
              <w:rPr>
                <w:rFonts w:hint="eastAsia" w:eastAsia="宋体" w:cs="Times New Roman"/>
                <w:sz w:val="24"/>
                <w:szCs w:val="24"/>
                <w:highlight w:val="none"/>
                <w:lang w:eastAsia="zh-CN"/>
              </w:rPr>
              <w:t>投资促进局</w:t>
            </w:r>
            <w:r>
              <w:rPr>
                <w:rFonts w:hint="eastAsia" w:eastAsia="宋体" w:cs="Times New Roman"/>
                <w:sz w:val="24"/>
                <w:szCs w:val="24"/>
                <w:highlight w:val="none"/>
              </w:rPr>
              <w:t>、</w:t>
            </w:r>
            <w:r>
              <w:rPr>
                <w:rFonts w:hint="eastAsia" w:eastAsia="宋体" w:cs="Times New Roman"/>
                <w:sz w:val="24"/>
                <w:szCs w:val="24"/>
                <w:highlight w:val="none"/>
                <w:lang w:eastAsia="zh-CN"/>
              </w:rPr>
              <w:t>规划建设局</w:t>
            </w:r>
            <w:r>
              <w:rPr>
                <w:rFonts w:hint="eastAsia" w:eastAsia="宋体" w:cs="Times New Roman"/>
                <w:sz w:val="24"/>
                <w:szCs w:val="24"/>
                <w:highlight w:val="none"/>
              </w:rPr>
              <w:t>、十户滩新材料工业园区管理办公室</w:t>
            </w:r>
          </w:p>
        </w:tc>
      </w:tr>
      <w:tr w14:paraId="70EE9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8" w:type="pct"/>
            <w:vAlign w:val="center"/>
          </w:tcPr>
          <w:p w14:paraId="39290D0E">
            <w:pPr>
              <w:keepNext w:val="0"/>
              <w:keepLines/>
              <w:widowControl/>
              <w:numPr>
                <w:ilvl w:val="0"/>
                <w:numId w:val="1"/>
              </w:numPr>
              <w:suppressLineNumbers w:val="0"/>
              <w:tabs>
                <w:tab w:val="clear" w:pos="0"/>
              </w:tabs>
              <w:ind w:left="454" w:leftChars="0" w:hanging="454" w:firstLineChars="0"/>
              <w:jc w:val="center"/>
              <w:textAlignment w:val="center"/>
              <w:rPr>
                <w:rFonts w:hint="eastAsia" w:eastAsia="宋体" w:cs="Times New Roman"/>
                <w:kern w:val="2"/>
                <w:sz w:val="24"/>
                <w:szCs w:val="24"/>
                <w:highlight w:val="none"/>
                <w:lang w:val="en-US" w:eastAsia="zh-CN" w:bidi="ar-SA"/>
              </w:rPr>
            </w:pPr>
          </w:p>
        </w:tc>
        <w:tc>
          <w:tcPr>
            <w:tcW w:w="325" w:type="pct"/>
            <w:vMerge w:val="continue"/>
            <w:vAlign w:val="center"/>
          </w:tcPr>
          <w:p w14:paraId="64E6533F">
            <w:pPr>
              <w:pStyle w:val="35"/>
              <w:keepNext w:val="0"/>
              <w:keepLines/>
              <w:pageBreakBefore w:val="0"/>
              <w:widowControl/>
              <w:kinsoku/>
              <w:wordWrap/>
              <w:overflowPunct w:val="0"/>
              <w:topLinePunct w:val="0"/>
              <w:autoSpaceDE/>
              <w:autoSpaceDN/>
              <w:bidi w:val="0"/>
              <w:adjustRightInd/>
              <w:snapToGrid w:val="0"/>
              <w:ind w:firstLine="0" w:firstLineChars="0"/>
              <w:jc w:val="center"/>
              <w:textAlignment w:val="auto"/>
              <w:rPr>
                <w:rFonts w:hint="eastAsia" w:cs="Times New Roman"/>
                <w:highlight w:val="none"/>
                <w:lang w:val="en-US" w:eastAsia="zh-CN"/>
              </w:rPr>
            </w:pPr>
          </w:p>
        </w:tc>
        <w:tc>
          <w:tcPr>
            <w:tcW w:w="328" w:type="pct"/>
            <w:shd w:val="clear" w:color="auto" w:fill="auto"/>
            <w:vAlign w:val="center"/>
          </w:tcPr>
          <w:p w14:paraId="15AC2F56">
            <w:pPr>
              <w:keepNext w:val="0"/>
              <w:keepLines/>
              <w:widowControl/>
              <w:suppressLineNumbers w:val="0"/>
              <w:ind w:left="0" w:leftChars="0" w:firstLine="0" w:firstLineChars="0"/>
              <w:jc w:val="center"/>
              <w:textAlignment w:val="center"/>
              <w:rPr>
                <w:rFonts w:hint="default" w:eastAsia="宋体" w:cs="Times New Roman"/>
                <w:sz w:val="24"/>
                <w:szCs w:val="24"/>
                <w:highlight w:val="none"/>
                <w:lang w:val="en-US" w:eastAsia="zh-CN"/>
              </w:rPr>
            </w:pPr>
            <w:r>
              <w:rPr>
                <w:rFonts w:hint="eastAsia" w:eastAsia="宋体" w:cs="Times New Roman"/>
                <w:sz w:val="24"/>
                <w:szCs w:val="24"/>
                <w:highlight w:val="none"/>
              </w:rPr>
              <w:t>加强污染物排放和碳排放源头治理</w:t>
            </w:r>
          </w:p>
        </w:tc>
        <w:tc>
          <w:tcPr>
            <w:tcW w:w="3414" w:type="pct"/>
            <w:gridSpan w:val="2"/>
            <w:shd w:val="clear" w:color="auto" w:fill="auto"/>
            <w:vAlign w:val="center"/>
          </w:tcPr>
          <w:p w14:paraId="0B15EACB">
            <w:pPr>
              <w:keepNext w:val="0"/>
              <w:keepLines/>
              <w:widowControl/>
              <w:suppressLineNumbers w:val="0"/>
              <w:ind w:left="0" w:leftChars="0" w:firstLine="0" w:firstLineChars="0"/>
              <w:jc w:val="both"/>
              <w:textAlignment w:val="center"/>
              <w:rPr>
                <w:rFonts w:hint="eastAsia" w:eastAsia="宋体" w:cs="Times New Roman"/>
                <w:sz w:val="24"/>
                <w:szCs w:val="24"/>
                <w:highlight w:val="none"/>
                <w:lang w:eastAsia="zh-CN"/>
              </w:rPr>
            </w:pPr>
            <w:r>
              <w:rPr>
                <w:rFonts w:hint="eastAsia" w:eastAsia="宋体" w:cs="Times New Roman"/>
                <w:sz w:val="24"/>
                <w:szCs w:val="24"/>
                <w:highlight w:val="none"/>
              </w:rPr>
              <w:t>加强固定资产投资项目节能审查和环境准入关。对不符合产业政策、能耗“双控”、产能置换、“三线一单”、污染物区域削减等要求的，依法不予审批，探索建立项目入区绿色评价指标体系。</w:t>
            </w:r>
          </w:p>
        </w:tc>
        <w:tc>
          <w:tcPr>
            <w:tcW w:w="654" w:type="pct"/>
            <w:shd w:val="clear" w:color="auto" w:fill="auto"/>
            <w:vAlign w:val="center"/>
          </w:tcPr>
          <w:p w14:paraId="7BA6D7C4">
            <w:pPr>
              <w:keepNext w:val="0"/>
              <w:keepLines/>
              <w:widowControl/>
              <w:suppressLineNumbers w:val="0"/>
              <w:ind w:left="0" w:leftChars="0" w:firstLine="0" w:firstLineChars="0"/>
              <w:jc w:val="center"/>
              <w:textAlignment w:val="center"/>
              <w:rPr>
                <w:rFonts w:hint="eastAsia" w:eastAsia="宋体" w:cs="Times New Roman"/>
                <w:sz w:val="24"/>
                <w:szCs w:val="24"/>
                <w:highlight w:val="none"/>
                <w:lang w:val="en-US" w:eastAsia="zh-CN"/>
              </w:rPr>
            </w:pPr>
            <w:r>
              <w:rPr>
                <w:rFonts w:hint="eastAsia" w:eastAsia="宋体" w:cs="Times New Roman"/>
                <w:sz w:val="24"/>
                <w:szCs w:val="24"/>
                <w:highlight w:val="none"/>
                <w:lang w:eastAsia="zh-CN"/>
              </w:rPr>
              <w:t>经济发展局</w:t>
            </w:r>
            <w:r>
              <w:rPr>
                <w:rFonts w:hint="default" w:eastAsia="宋体" w:cs="Times New Roman"/>
                <w:sz w:val="24"/>
                <w:szCs w:val="24"/>
                <w:highlight w:val="none"/>
              </w:rPr>
              <w:t>、</w:t>
            </w:r>
            <w:r>
              <w:rPr>
                <w:rFonts w:hint="eastAsia" w:eastAsia="宋体" w:cs="Times New Roman"/>
                <w:sz w:val="24"/>
                <w:szCs w:val="24"/>
                <w:highlight w:val="none"/>
                <w:lang w:eastAsia="zh-CN"/>
              </w:rPr>
              <w:t>投资促进局</w:t>
            </w:r>
          </w:p>
        </w:tc>
      </w:tr>
      <w:tr w14:paraId="324C5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8" w:type="pct"/>
            <w:vAlign w:val="center"/>
          </w:tcPr>
          <w:p w14:paraId="03AA6B96">
            <w:pPr>
              <w:keepNext w:val="0"/>
              <w:keepLines/>
              <w:widowControl/>
              <w:numPr>
                <w:ilvl w:val="0"/>
                <w:numId w:val="1"/>
              </w:numPr>
              <w:suppressLineNumbers w:val="0"/>
              <w:tabs>
                <w:tab w:val="clear" w:pos="0"/>
              </w:tabs>
              <w:ind w:left="454" w:leftChars="0" w:hanging="454" w:firstLineChars="0"/>
              <w:jc w:val="center"/>
              <w:textAlignment w:val="center"/>
              <w:rPr>
                <w:rFonts w:hint="eastAsia" w:eastAsia="宋体" w:cs="Times New Roman"/>
                <w:kern w:val="2"/>
                <w:sz w:val="24"/>
                <w:szCs w:val="24"/>
                <w:highlight w:val="none"/>
                <w:lang w:val="en-US" w:eastAsia="zh-CN" w:bidi="ar-SA"/>
              </w:rPr>
            </w:pPr>
          </w:p>
        </w:tc>
        <w:tc>
          <w:tcPr>
            <w:tcW w:w="325" w:type="pct"/>
            <w:vMerge w:val="continue"/>
            <w:vAlign w:val="center"/>
          </w:tcPr>
          <w:p w14:paraId="67F7D9A5">
            <w:pPr>
              <w:pStyle w:val="35"/>
              <w:keepNext w:val="0"/>
              <w:keepLines/>
              <w:pageBreakBefore w:val="0"/>
              <w:widowControl/>
              <w:kinsoku/>
              <w:wordWrap/>
              <w:overflowPunct w:val="0"/>
              <w:topLinePunct w:val="0"/>
              <w:autoSpaceDE/>
              <w:autoSpaceDN/>
              <w:bidi w:val="0"/>
              <w:adjustRightInd/>
              <w:snapToGrid w:val="0"/>
              <w:ind w:firstLine="0" w:firstLineChars="0"/>
              <w:jc w:val="center"/>
              <w:textAlignment w:val="auto"/>
              <w:rPr>
                <w:rFonts w:hint="eastAsia" w:cs="Times New Roman"/>
                <w:highlight w:val="none"/>
                <w:lang w:val="en-US" w:eastAsia="zh-CN"/>
              </w:rPr>
            </w:pPr>
          </w:p>
        </w:tc>
        <w:tc>
          <w:tcPr>
            <w:tcW w:w="328" w:type="pct"/>
            <w:shd w:val="clear" w:color="auto" w:fill="auto"/>
            <w:vAlign w:val="center"/>
          </w:tcPr>
          <w:p w14:paraId="4F347D83">
            <w:pPr>
              <w:keepNext w:val="0"/>
              <w:keepLines/>
              <w:widowControl/>
              <w:suppressLineNumbers w:val="0"/>
              <w:ind w:left="0" w:leftChars="0" w:firstLine="0" w:firstLineChars="0"/>
              <w:jc w:val="center"/>
              <w:textAlignment w:val="center"/>
              <w:rPr>
                <w:rFonts w:hint="eastAsia" w:eastAsia="宋体" w:cs="Times New Roman"/>
                <w:sz w:val="24"/>
                <w:szCs w:val="24"/>
                <w:highlight w:val="none"/>
                <w:lang w:val="en-US" w:eastAsia="zh-CN"/>
              </w:rPr>
            </w:pPr>
            <w:r>
              <w:rPr>
                <w:rFonts w:hint="eastAsia" w:eastAsia="宋体" w:cs="Times New Roman"/>
                <w:sz w:val="24"/>
                <w:szCs w:val="24"/>
                <w:highlight w:val="none"/>
              </w:rPr>
              <w:t>实施重点行业企业污染深度治理</w:t>
            </w:r>
          </w:p>
        </w:tc>
        <w:tc>
          <w:tcPr>
            <w:tcW w:w="3414" w:type="pct"/>
            <w:gridSpan w:val="2"/>
            <w:shd w:val="clear" w:color="auto" w:fill="auto"/>
            <w:vAlign w:val="center"/>
          </w:tcPr>
          <w:p w14:paraId="6A260110">
            <w:pPr>
              <w:keepNext w:val="0"/>
              <w:keepLines/>
              <w:widowControl/>
              <w:suppressLineNumbers w:val="0"/>
              <w:ind w:left="0" w:leftChars="0" w:firstLine="0" w:firstLineChars="0"/>
              <w:jc w:val="both"/>
              <w:textAlignment w:val="center"/>
              <w:rPr>
                <w:rFonts w:hint="eastAsia" w:eastAsia="宋体" w:cs="Times New Roman"/>
                <w:sz w:val="24"/>
                <w:szCs w:val="24"/>
                <w:highlight w:val="none"/>
                <w:lang w:eastAsia="zh-CN"/>
              </w:rPr>
            </w:pPr>
            <w:r>
              <w:rPr>
                <w:rFonts w:hint="eastAsia" w:eastAsia="宋体" w:cs="Times New Roman"/>
                <w:sz w:val="24"/>
                <w:szCs w:val="24"/>
                <w:highlight w:val="none"/>
              </w:rPr>
              <w:t>对重点行业企业的除尘脱硫一体化、简易碱法脱硫、简易氨法脱硫脱硝、湿法脱硝等低效治理技术全面提升改造，推进水泥、石墨碳素、工业硅、化工等行业烟气深度治理，推动相关企业实施提标改造工程。</w:t>
            </w:r>
          </w:p>
        </w:tc>
        <w:tc>
          <w:tcPr>
            <w:tcW w:w="654" w:type="pct"/>
            <w:shd w:val="clear" w:color="auto" w:fill="auto"/>
            <w:vAlign w:val="center"/>
          </w:tcPr>
          <w:p w14:paraId="652634ED">
            <w:pPr>
              <w:keepNext w:val="0"/>
              <w:keepLines/>
              <w:widowControl/>
              <w:suppressLineNumbers w:val="0"/>
              <w:ind w:left="0" w:leftChars="0" w:firstLine="0" w:firstLineChars="0"/>
              <w:jc w:val="center"/>
              <w:textAlignment w:val="center"/>
              <w:rPr>
                <w:rFonts w:hint="default" w:eastAsia="宋体" w:cs="Times New Roman"/>
                <w:sz w:val="24"/>
                <w:szCs w:val="24"/>
                <w:highlight w:val="none"/>
                <w:lang w:val="en-US" w:eastAsia="zh-CN"/>
              </w:rPr>
            </w:pPr>
            <w:r>
              <w:rPr>
                <w:rFonts w:hint="eastAsia" w:eastAsia="宋体" w:cs="Times New Roman"/>
                <w:sz w:val="24"/>
                <w:szCs w:val="24"/>
                <w:highlight w:val="none"/>
                <w:lang w:eastAsia="zh-CN"/>
              </w:rPr>
              <w:t>经济发展局</w:t>
            </w:r>
            <w:r>
              <w:rPr>
                <w:rFonts w:hint="default" w:eastAsia="宋体" w:cs="Times New Roman"/>
                <w:sz w:val="24"/>
                <w:szCs w:val="24"/>
                <w:highlight w:val="none"/>
              </w:rPr>
              <w:t>、</w:t>
            </w:r>
            <w:r>
              <w:rPr>
                <w:rFonts w:hint="eastAsia" w:eastAsia="宋体" w:cs="Times New Roman"/>
                <w:sz w:val="24"/>
                <w:szCs w:val="24"/>
                <w:highlight w:val="none"/>
                <w:lang w:eastAsia="zh-CN"/>
              </w:rPr>
              <w:t>规划建设局</w:t>
            </w:r>
            <w:r>
              <w:rPr>
                <w:rFonts w:hint="default" w:eastAsia="宋体" w:cs="Times New Roman"/>
                <w:sz w:val="24"/>
                <w:szCs w:val="24"/>
                <w:highlight w:val="none"/>
              </w:rPr>
              <w:t>、十户滩新材料工业园区管理办公室</w:t>
            </w:r>
          </w:p>
        </w:tc>
      </w:tr>
      <w:tr w14:paraId="5612A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8" w:type="pct"/>
            <w:vAlign w:val="center"/>
          </w:tcPr>
          <w:p w14:paraId="19485DBA">
            <w:pPr>
              <w:keepNext w:val="0"/>
              <w:keepLines/>
              <w:widowControl/>
              <w:numPr>
                <w:ilvl w:val="0"/>
                <w:numId w:val="1"/>
              </w:numPr>
              <w:suppressLineNumbers w:val="0"/>
              <w:tabs>
                <w:tab w:val="clear" w:pos="0"/>
              </w:tabs>
              <w:ind w:left="454" w:leftChars="0" w:hanging="454" w:firstLineChars="0"/>
              <w:jc w:val="center"/>
              <w:textAlignment w:val="center"/>
              <w:rPr>
                <w:rFonts w:hint="eastAsia" w:eastAsia="宋体" w:cs="Times New Roman"/>
                <w:kern w:val="2"/>
                <w:sz w:val="24"/>
                <w:szCs w:val="24"/>
                <w:highlight w:val="none"/>
                <w:lang w:val="en-US" w:eastAsia="zh-CN" w:bidi="ar-SA"/>
              </w:rPr>
            </w:pPr>
          </w:p>
        </w:tc>
        <w:tc>
          <w:tcPr>
            <w:tcW w:w="325" w:type="pct"/>
            <w:vMerge w:val="continue"/>
            <w:vAlign w:val="center"/>
          </w:tcPr>
          <w:p w14:paraId="63A58A97">
            <w:pPr>
              <w:pStyle w:val="35"/>
              <w:keepNext w:val="0"/>
              <w:keepLines/>
              <w:pageBreakBefore w:val="0"/>
              <w:widowControl/>
              <w:kinsoku/>
              <w:wordWrap/>
              <w:overflowPunct w:val="0"/>
              <w:topLinePunct w:val="0"/>
              <w:autoSpaceDE/>
              <w:autoSpaceDN/>
              <w:bidi w:val="0"/>
              <w:adjustRightInd/>
              <w:snapToGrid w:val="0"/>
              <w:ind w:firstLine="0" w:firstLineChars="0"/>
              <w:jc w:val="center"/>
              <w:textAlignment w:val="auto"/>
              <w:rPr>
                <w:rFonts w:hint="eastAsia" w:cs="Times New Roman"/>
                <w:highlight w:val="none"/>
                <w:lang w:val="en-US" w:eastAsia="zh-CN"/>
              </w:rPr>
            </w:pPr>
          </w:p>
        </w:tc>
        <w:tc>
          <w:tcPr>
            <w:tcW w:w="328" w:type="pct"/>
            <w:shd w:val="clear" w:color="auto" w:fill="auto"/>
            <w:vAlign w:val="center"/>
          </w:tcPr>
          <w:p w14:paraId="5AD1C941">
            <w:pPr>
              <w:keepNext w:val="0"/>
              <w:keepLines/>
              <w:widowControl/>
              <w:suppressLineNumbers w:val="0"/>
              <w:ind w:left="0" w:leftChars="0" w:firstLine="0" w:firstLineChars="0"/>
              <w:jc w:val="center"/>
              <w:textAlignment w:val="center"/>
              <w:rPr>
                <w:rFonts w:hint="eastAsia" w:eastAsia="宋体" w:cs="Times New Roman"/>
                <w:sz w:val="24"/>
                <w:szCs w:val="24"/>
                <w:highlight w:val="none"/>
                <w:lang w:val="en-US" w:eastAsia="zh-CN"/>
              </w:rPr>
            </w:pPr>
            <w:r>
              <w:rPr>
                <w:rFonts w:hint="eastAsia" w:eastAsia="宋体" w:cs="Times New Roman"/>
                <w:sz w:val="24"/>
                <w:szCs w:val="24"/>
                <w:highlight w:val="none"/>
              </w:rPr>
              <w:t>探索环境污染第三方治理模式</w:t>
            </w:r>
          </w:p>
        </w:tc>
        <w:tc>
          <w:tcPr>
            <w:tcW w:w="3414" w:type="pct"/>
            <w:gridSpan w:val="2"/>
            <w:shd w:val="clear" w:color="auto" w:fill="auto"/>
            <w:vAlign w:val="center"/>
          </w:tcPr>
          <w:p w14:paraId="39062102">
            <w:pPr>
              <w:keepNext w:val="0"/>
              <w:keepLines/>
              <w:widowControl/>
              <w:suppressLineNumbers w:val="0"/>
              <w:ind w:left="0" w:leftChars="0" w:firstLine="0" w:firstLineChars="0"/>
              <w:jc w:val="both"/>
              <w:textAlignment w:val="center"/>
              <w:rPr>
                <w:rFonts w:hint="eastAsia" w:eastAsia="宋体" w:cs="Times New Roman"/>
                <w:sz w:val="24"/>
                <w:szCs w:val="24"/>
                <w:highlight w:val="none"/>
                <w:lang w:eastAsia="zh-CN"/>
              </w:rPr>
            </w:pPr>
            <w:r>
              <w:rPr>
                <w:rFonts w:hint="eastAsia" w:eastAsia="宋体" w:cs="Times New Roman"/>
                <w:sz w:val="24"/>
                <w:szCs w:val="24"/>
                <w:highlight w:val="none"/>
              </w:rPr>
              <w:t>创新政策引导，探索污染治理的长效监管机制，推动形成环境污染第三方治理的“市场化、专业化、产业化”，整体提升污染治理水平和污染物排放管控水平</w:t>
            </w:r>
            <w:r>
              <w:rPr>
                <w:rFonts w:hint="eastAsia" w:eastAsia="宋体" w:cs="Times New Roman"/>
                <w:sz w:val="24"/>
                <w:szCs w:val="24"/>
                <w:highlight w:val="none"/>
                <w:lang w:eastAsia="zh-CN"/>
              </w:rPr>
              <w:t>；</w:t>
            </w:r>
            <w:r>
              <w:rPr>
                <w:rFonts w:hint="eastAsia" w:eastAsia="宋体" w:cs="Times New Roman"/>
                <w:sz w:val="24"/>
                <w:szCs w:val="24"/>
                <w:highlight w:val="none"/>
              </w:rPr>
              <w:t>鼓励第三方公司依法积极参与环境影响评价、循环化改造及集中污染治理设施的运维管理等服务</w:t>
            </w:r>
            <w:r>
              <w:rPr>
                <w:rFonts w:hint="eastAsia" w:eastAsia="宋体" w:cs="Times New Roman"/>
                <w:sz w:val="24"/>
                <w:szCs w:val="24"/>
                <w:highlight w:val="none"/>
                <w:lang w:eastAsia="zh-CN"/>
              </w:rPr>
              <w:t>。</w:t>
            </w:r>
          </w:p>
        </w:tc>
        <w:tc>
          <w:tcPr>
            <w:tcW w:w="654" w:type="pct"/>
            <w:shd w:val="clear" w:color="auto" w:fill="auto"/>
            <w:vAlign w:val="center"/>
          </w:tcPr>
          <w:p w14:paraId="75DEE4AE">
            <w:pPr>
              <w:keepNext w:val="0"/>
              <w:keepLines/>
              <w:widowControl/>
              <w:suppressLineNumbers w:val="0"/>
              <w:ind w:left="0" w:leftChars="0" w:firstLine="0" w:firstLineChars="0"/>
              <w:jc w:val="center"/>
              <w:textAlignment w:val="center"/>
              <w:rPr>
                <w:rFonts w:hint="eastAsia" w:eastAsia="宋体" w:cs="Times New Roman"/>
                <w:sz w:val="24"/>
                <w:szCs w:val="24"/>
                <w:highlight w:val="none"/>
                <w:lang w:val="en-US" w:eastAsia="zh-CN"/>
              </w:rPr>
            </w:pPr>
            <w:r>
              <w:rPr>
                <w:rFonts w:hint="eastAsia" w:eastAsia="宋体" w:cs="Times New Roman"/>
                <w:sz w:val="24"/>
                <w:szCs w:val="24"/>
                <w:highlight w:val="none"/>
                <w:lang w:eastAsia="zh-CN"/>
              </w:rPr>
              <w:t>经济发展局</w:t>
            </w:r>
            <w:r>
              <w:rPr>
                <w:rFonts w:hint="default" w:eastAsia="宋体" w:cs="Times New Roman"/>
                <w:sz w:val="24"/>
                <w:szCs w:val="24"/>
                <w:highlight w:val="none"/>
              </w:rPr>
              <w:t>、</w:t>
            </w:r>
            <w:r>
              <w:rPr>
                <w:rFonts w:hint="eastAsia" w:eastAsia="宋体" w:cs="Times New Roman"/>
                <w:sz w:val="24"/>
                <w:szCs w:val="24"/>
                <w:highlight w:val="none"/>
                <w:lang w:eastAsia="zh-CN"/>
              </w:rPr>
              <w:t>投资促进局</w:t>
            </w:r>
          </w:p>
        </w:tc>
      </w:tr>
      <w:tr w14:paraId="53E81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8" w:type="pct"/>
            <w:vAlign w:val="center"/>
          </w:tcPr>
          <w:p w14:paraId="23D88329">
            <w:pPr>
              <w:keepNext w:val="0"/>
              <w:keepLines/>
              <w:widowControl/>
              <w:numPr>
                <w:ilvl w:val="0"/>
                <w:numId w:val="1"/>
              </w:numPr>
              <w:suppressLineNumbers w:val="0"/>
              <w:tabs>
                <w:tab w:val="clear" w:pos="0"/>
              </w:tabs>
              <w:ind w:left="454" w:leftChars="0" w:hanging="454" w:firstLineChars="0"/>
              <w:jc w:val="center"/>
              <w:textAlignment w:val="center"/>
              <w:rPr>
                <w:rFonts w:hint="eastAsia" w:eastAsia="宋体" w:cs="Times New Roman"/>
                <w:kern w:val="2"/>
                <w:sz w:val="24"/>
                <w:szCs w:val="24"/>
                <w:highlight w:val="none"/>
                <w:lang w:val="en-US" w:eastAsia="zh-CN" w:bidi="ar-SA"/>
              </w:rPr>
            </w:pPr>
          </w:p>
        </w:tc>
        <w:tc>
          <w:tcPr>
            <w:tcW w:w="325" w:type="pct"/>
            <w:vMerge w:val="restart"/>
            <w:vAlign w:val="center"/>
          </w:tcPr>
          <w:p w14:paraId="240F12DB">
            <w:pPr>
              <w:pStyle w:val="35"/>
              <w:keepNext w:val="0"/>
              <w:keepLines/>
              <w:pageBreakBefore w:val="0"/>
              <w:widowControl/>
              <w:kinsoku/>
              <w:wordWrap/>
              <w:overflowPunct w:val="0"/>
              <w:topLinePunct w:val="0"/>
              <w:autoSpaceDE/>
              <w:autoSpaceDN/>
              <w:bidi w:val="0"/>
              <w:adjustRightInd/>
              <w:snapToGrid w:val="0"/>
              <w:ind w:firstLine="0" w:firstLineChars="0"/>
              <w:jc w:val="center"/>
              <w:textAlignment w:val="auto"/>
              <w:rPr>
                <w:rFonts w:hint="default" w:cs="Times New Roman"/>
                <w:highlight w:val="none"/>
                <w:lang w:val="en-US" w:eastAsia="zh-CN"/>
              </w:rPr>
            </w:pPr>
            <w:r>
              <w:rPr>
                <w:rFonts w:hint="eastAsia" w:cs="Times New Roman"/>
                <w:highlight w:val="none"/>
                <w:lang w:val="en-US" w:eastAsia="zh-CN"/>
              </w:rPr>
              <w:t>全民行动</w:t>
            </w:r>
          </w:p>
        </w:tc>
        <w:tc>
          <w:tcPr>
            <w:tcW w:w="328" w:type="pct"/>
            <w:shd w:val="clear" w:color="auto" w:fill="auto"/>
            <w:vAlign w:val="center"/>
          </w:tcPr>
          <w:p w14:paraId="2B1E032F">
            <w:pPr>
              <w:keepNext w:val="0"/>
              <w:keepLines/>
              <w:widowControl/>
              <w:suppressLineNumbers w:val="0"/>
              <w:ind w:left="0" w:leftChars="0" w:firstLine="0" w:firstLineChars="0"/>
              <w:jc w:val="center"/>
              <w:textAlignment w:val="center"/>
              <w:rPr>
                <w:rFonts w:hint="eastAsia" w:eastAsia="宋体" w:cs="Times New Roman"/>
                <w:sz w:val="24"/>
                <w:szCs w:val="24"/>
                <w:highlight w:val="none"/>
              </w:rPr>
            </w:pPr>
            <w:r>
              <w:rPr>
                <w:rFonts w:hint="eastAsia" w:eastAsia="宋体" w:cs="Times New Roman"/>
                <w:sz w:val="24"/>
                <w:szCs w:val="24"/>
                <w:highlight w:val="none"/>
              </w:rPr>
              <w:t>加强生态文明宣传教育</w:t>
            </w:r>
          </w:p>
        </w:tc>
        <w:tc>
          <w:tcPr>
            <w:tcW w:w="3414" w:type="pct"/>
            <w:gridSpan w:val="2"/>
            <w:shd w:val="clear" w:color="auto" w:fill="auto"/>
            <w:vAlign w:val="center"/>
          </w:tcPr>
          <w:p w14:paraId="54DAB93F">
            <w:pPr>
              <w:keepNext w:val="0"/>
              <w:keepLines/>
              <w:widowControl/>
              <w:suppressLineNumbers w:val="0"/>
              <w:ind w:left="0" w:leftChars="0" w:firstLine="0" w:firstLineChars="0"/>
              <w:jc w:val="both"/>
              <w:textAlignment w:val="center"/>
              <w:rPr>
                <w:rFonts w:hint="eastAsia" w:eastAsia="宋体" w:cs="Times New Roman"/>
                <w:sz w:val="24"/>
                <w:szCs w:val="24"/>
                <w:highlight w:val="none"/>
                <w:lang w:eastAsia="zh-CN"/>
              </w:rPr>
            </w:pPr>
            <w:r>
              <w:rPr>
                <w:rFonts w:hint="eastAsia" w:eastAsia="宋体" w:cs="Times New Roman"/>
                <w:sz w:val="24"/>
                <w:szCs w:val="24"/>
                <w:highlight w:val="none"/>
              </w:rPr>
              <w:t>加大宣传和推广力度，切实发挥碳达峰试点的示范引领作用，以全国节能宣传周、节能低碳日、世界环境日等主题宣传活动为契机，分享碳达峰试点创建工作实践经验，加强对公众生态文明科普教育，普及碳达峰、碳中和基础知识。探索建设碳达峰碳中和主题宣传教育基地，推动创建绿色低碳发展的良好氛围</w:t>
            </w:r>
            <w:r>
              <w:rPr>
                <w:rFonts w:hint="eastAsia" w:eastAsia="宋体" w:cs="Times New Roman"/>
                <w:sz w:val="24"/>
                <w:szCs w:val="24"/>
                <w:highlight w:val="none"/>
                <w:lang w:eastAsia="zh-CN"/>
              </w:rPr>
              <w:t>。</w:t>
            </w:r>
          </w:p>
        </w:tc>
        <w:tc>
          <w:tcPr>
            <w:tcW w:w="654" w:type="pct"/>
            <w:shd w:val="clear" w:color="auto" w:fill="auto"/>
            <w:vAlign w:val="center"/>
          </w:tcPr>
          <w:p w14:paraId="1F0EBCCD">
            <w:pPr>
              <w:keepNext w:val="0"/>
              <w:keepLines/>
              <w:widowControl/>
              <w:suppressLineNumbers w:val="0"/>
              <w:ind w:left="0" w:leftChars="0" w:firstLine="0" w:firstLineChars="0"/>
              <w:jc w:val="center"/>
              <w:textAlignment w:val="center"/>
              <w:rPr>
                <w:rFonts w:hint="eastAsia" w:eastAsia="宋体" w:cs="Times New Roman"/>
                <w:sz w:val="24"/>
                <w:szCs w:val="24"/>
                <w:highlight w:val="none"/>
                <w:lang w:eastAsia="zh-CN"/>
              </w:rPr>
            </w:pPr>
            <w:r>
              <w:rPr>
                <w:rFonts w:hint="eastAsia" w:eastAsia="宋体" w:cs="Times New Roman"/>
                <w:sz w:val="24"/>
                <w:szCs w:val="24"/>
                <w:highlight w:val="none"/>
                <w:lang w:eastAsia="zh-CN"/>
              </w:rPr>
              <w:t>综合办公室</w:t>
            </w:r>
            <w:r>
              <w:rPr>
                <w:rFonts w:hint="eastAsia" w:eastAsia="宋体" w:cs="Times New Roman"/>
                <w:sz w:val="24"/>
                <w:szCs w:val="24"/>
                <w:highlight w:val="none"/>
              </w:rPr>
              <w:t>、</w:t>
            </w:r>
            <w:r>
              <w:rPr>
                <w:rFonts w:hint="eastAsia" w:eastAsia="宋体" w:cs="Times New Roman"/>
                <w:sz w:val="24"/>
                <w:szCs w:val="24"/>
                <w:highlight w:val="none"/>
                <w:lang w:eastAsia="zh-CN"/>
              </w:rPr>
              <w:t>经济发展局</w:t>
            </w:r>
          </w:p>
        </w:tc>
      </w:tr>
      <w:tr w14:paraId="5D0C5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8" w:type="pct"/>
            <w:vAlign w:val="center"/>
          </w:tcPr>
          <w:p w14:paraId="4D7F6BDE">
            <w:pPr>
              <w:keepNext w:val="0"/>
              <w:keepLines/>
              <w:widowControl/>
              <w:numPr>
                <w:ilvl w:val="0"/>
                <w:numId w:val="1"/>
              </w:numPr>
              <w:suppressLineNumbers w:val="0"/>
              <w:tabs>
                <w:tab w:val="clear" w:pos="0"/>
              </w:tabs>
              <w:ind w:left="454" w:leftChars="0" w:hanging="454" w:firstLineChars="0"/>
              <w:jc w:val="center"/>
              <w:textAlignment w:val="center"/>
              <w:rPr>
                <w:rFonts w:hint="eastAsia" w:eastAsia="宋体" w:cs="Times New Roman"/>
                <w:kern w:val="2"/>
                <w:sz w:val="24"/>
                <w:szCs w:val="24"/>
                <w:highlight w:val="none"/>
                <w:lang w:val="en-US" w:eastAsia="zh-CN" w:bidi="ar-SA"/>
              </w:rPr>
            </w:pPr>
          </w:p>
        </w:tc>
        <w:tc>
          <w:tcPr>
            <w:tcW w:w="325" w:type="pct"/>
            <w:vMerge w:val="continue"/>
            <w:vAlign w:val="center"/>
          </w:tcPr>
          <w:p w14:paraId="5F477EA9">
            <w:pPr>
              <w:pStyle w:val="35"/>
              <w:keepNext w:val="0"/>
              <w:keepLines/>
              <w:pageBreakBefore w:val="0"/>
              <w:widowControl/>
              <w:kinsoku/>
              <w:wordWrap/>
              <w:overflowPunct w:val="0"/>
              <w:topLinePunct w:val="0"/>
              <w:autoSpaceDE/>
              <w:autoSpaceDN/>
              <w:bidi w:val="0"/>
              <w:adjustRightInd/>
              <w:snapToGrid w:val="0"/>
              <w:ind w:firstLine="0" w:firstLineChars="0"/>
              <w:jc w:val="center"/>
              <w:textAlignment w:val="auto"/>
              <w:rPr>
                <w:rFonts w:hint="eastAsia" w:cs="Times New Roman"/>
                <w:highlight w:val="none"/>
                <w:lang w:val="en-US" w:eastAsia="zh-CN"/>
              </w:rPr>
            </w:pPr>
          </w:p>
        </w:tc>
        <w:tc>
          <w:tcPr>
            <w:tcW w:w="328" w:type="pct"/>
            <w:shd w:val="clear" w:color="auto" w:fill="auto"/>
            <w:vAlign w:val="center"/>
          </w:tcPr>
          <w:p w14:paraId="13C9E993">
            <w:pPr>
              <w:keepNext w:val="0"/>
              <w:keepLines/>
              <w:widowControl/>
              <w:suppressLineNumbers w:val="0"/>
              <w:ind w:left="0" w:leftChars="0" w:firstLine="0" w:firstLineChars="0"/>
              <w:jc w:val="center"/>
              <w:textAlignment w:val="center"/>
              <w:rPr>
                <w:rFonts w:hint="eastAsia" w:eastAsia="宋体" w:cs="Times New Roman"/>
                <w:sz w:val="24"/>
                <w:szCs w:val="24"/>
                <w:highlight w:val="none"/>
              </w:rPr>
            </w:pPr>
            <w:r>
              <w:rPr>
                <w:rFonts w:hint="eastAsia" w:eastAsia="宋体" w:cs="Times New Roman"/>
                <w:sz w:val="24"/>
                <w:szCs w:val="24"/>
                <w:highlight w:val="none"/>
              </w:rPr>
              <w:t>推广绿色低碳生活方式</w:t>
            </w:r>
          </w:p>
        </w:tc>
        <w:tc>
          <w:tcPr>
            <w:tcW w:w="3414" w:type="pct"/>
            <w:gridSpan w:val="2"/>
            <w:shd w:val="clear" w:color="auto" w:fill="auto"/>
            <w:vAlign w:val="center"/>
          </w:tcPr>
          <w:p w14:paraId="1A7D5A52">
            <w:pPr>
              <w:keepNext w:val="0"/>
              <w:keepLines/>
              <w:widowControl/>
              <w:suppressLineNumbers w:val="0"/>
              <w:ind w:left="0" w:leftChars="0" w:firstLine="0" w:firstLineChars="0"/>
              <w:jc w:val="both"/>
              <w:textAlignment w:val="center"/>
              <w:rPr>
                <w:rFonts w:hint="eastAsia" w:eastAsia="宋体" w:cs="Times New Roman"/>
                <w:sz w:val="24"/>
                <w:szCs w:val="24"/>
                <w:highlight w:val="none"/>
                <w:lang w:eastAsia="zh-CN"/>
              </w:rPr>
            </w:pPr>
            <w:r>
              <w:rPr>
                <w:rFonts w:hint="eastAsia" w:eastAsia="宋体" w:cs="Times New Roman"/>
                <w:sz w:val="24"/>
                <w:szCs w:val="24"/>
                <w:highlight w:val="none"/>
              </w:rPr>
              <w:t>深入推进节约型机关，强化公共机构节能降碳管理能力，制定节能目标责任评价考核制度</w:t>
            </w:r>
            <w:r>
              <w:rPr>
                <w:rFonts w:hint="eastAsia" w:eastAsia="宋体" w:cs="Times New Roman"/>
                <w:sz w:val="24"/>
                <w:szCs w:val="24"/>
                <w:highlight w:val="none"/>
                <w:lang w:eastAsia="zh-CN"/>
              </w:rPr>
              <w:t>；</w:t>
            </w:r>
            <w:r>
              <w:rPr>
                <w:rFonts w:hint="eastAsia" w:eastAsia="宋体" w:cs="Times New Roman"/>
                <w:sz w:val="24"/>
                <w:szCs w:val="24"/>
                <w:highlight w:val="none"/>
              </w:rPr>
              <w:t>倡导简约适度、绿色低碳、文明健康的生活理念和生活方式，坚决制止餐饮浪费行为</w:t>
            </w:r>
            <w:r>
              <w:rPr>
                <w:rFonts w:hint="eastAsia" w:eastAsia="宋体" w:cs="Times New Roman"/>
                <w:sz w:val="24"/>
                <w:szCs w:val="24"/>
                <w:highlight w:val="none"/>
                <w:lang w:eastAsia="zh-CN"/>
              </w:rPr>
              <w:t>；</w:t>
            </w:r>
            <w:r>
              <w:rPr>
                <w:rFonts w:hint="eastAsia" w:eastAsia="宋体" w:cs="Times New Roman"/>
                <w:sz w:val="24"/>
                <w:szCs w:val="24"/>
                <w:highlight w:val="none"/>
              </w:rPr>
              <w:t>充分发挥媒体作用，完善公众参与制度，加大对能源浪费行为的曝光力度，营造人人、事事、时时参与节能降碳的新风尚</w:t>
            </w:r>
            <w:r>
              <w:rPr>
                <w:rFonts w:hint="eastAsia" w:eastAsia="宋体" w:cs="Times New Roman"/>
                <w:sz w:val="24"/>
                <w:szCs w:val="24"/>
                <w:highlight w:val="none"/>
                <w:lang w:eastAsia="zh-CN"/>
              </w:rPr>
              <w:t>。</w:t>
            </w:r>
          </w:p>
        </w:tc>
        <w:tc>
          <w:tcPr>
            <w:tcW w:w="654" w:type="pct"/>
            <w:shd w:val="clear" w:color="auto" w:fill="auto"/>
            <w:vAlign w:val="center"/>
          </w:tcPr>
          <w:p w14:paraId="2E998AD3">
            <w:pPr>
              <w:keepNext w:val="0"/>
              <w:keepLines/>
              <w:widowControl/>
              <w:suppressLineNumbers w:val="0"/>
              <w:ind w:left="0" w:leftChars="0" w:firstLine="0" w:firstLineChars="0"/>
              <w:jc w:val="center"/>
              <w:textAlignment w:val="center"/>
              <w:rPr>
                <w:rFonts w:hint="eastAsia" w:eastAsia="宋体" w:cs="Times New Roman"/>
                <w:sz w:val="24"/>
                <w:szCs w:val="24"/>
                <w:highlight w:val="none"/>
                <w:lang w:eastAsia="zh-CN"/>
              </w:rPr>
            </w:pPr>
            <w:r>
              <w:rPr>
                <w:rFonts w:hint="eastAsia" w:eastAsia="宋体" w:cs="Times New Roman"/>
                <w:sz w:val="24"/>
                <w:szCs w:val="24"/>
                <w:highlight w:val="none"/>
                <w:lang w:eastAsia="zh-CN"/>
              </w:rPr>
              <w:t>综合办公室</w:t>
            </w:r>
            <w:r>
              <w:rPr>
                <w:rFonts w:hint="eastAsia" w:eastAsia="宋体" w:cs="Times New Roman"/>
                <w:sz w:val="24"/>
                <w:szCs w:val="24"/>
                <w:highlight w:val="none"/>
              </w:rPr>
              <w:t>、</w:t>
            </w:r>
            <w:r>
              <w:rPr>
                <w:rFonts w:hint="eastAsia" w:eastAsia="宋体" w:cs="Times New Roman"/>
                <w:sz w:val="24"/>
                <w:szCs w:val="24"/>
                <w:highlight w:val="none"/>
                <w:lang w:eastAsia="zh-CN"/>
              </w:rPr>
              <w:t>经济发展局</w:t>
            </w:r>
          </w:p>
        </w:tc>
      </w:tr>
      <w:tr w14:paraId="0BDED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8" w:type="pct"/>
            <w:vAlign w:val="center"/>
          </w:tcPr>
          <w:p w14:paraId="7A3A832B">
            <w:pPr>
              <w:keepNext w:val="0"/>
              <w:keepLines/>
              <w:widowControl/>
              <w:numPr>
                <w:ilvl w:val="0"/>
                <w:numId w:val="1"/>
              </w:numPr>
              <w:suppressLineNumbers w:val="0"/>
              <w:tabs>
                <w:tab w:val="clear" w:pos="0"/>
              </w:tabs>
              <w:ind w:left="454" w:leftChars="0" w:hanging="454" w:firstLineChars="0"/>
              <w:jc w:val="center"/>
              <w:textAlignment w:val="center"/>
              <w:rPr>
                <w:rFonts w:hint="eastAsia" w:eastAsia="宋体" w:cs="Times New Roman"/>
                <w:kern w:val="2"/>
                <w:sz w:val="24"/>
                <w:szCs w:val="24"/>
                <w:highlight w:val="none"/>
                <w:lang w:val="en-US" w:eastAsia="zh-CN" w:bidi="ar-SA"/>
              </w:rPr>
            </w:pPr>
          </w:p>
        </w:tc>
        <w:tc>
          <w:tcPr>
            <w:tcW w:w="325" w:type="pct"/>
            <w:vMerge w:val="continue"/>
            <w:vAlign w:val="center"/>
          </w:tcPr>
          <w:p w14:paraId="7B150282">
            <w:pPr>
              <w:pStyle w:val="35"/>
              <w:keepNext w:val="0"/>
              <w:keepLines/>
              <w:pageBreakBefore w:val="0"/>
              <w:widowControl/>
              <w:kinsoku/>
              <w:wordWrap/>
              <w:overflowPunct w:val="0"/>
              <w:topLinePunct w:val="0"/>
              <w:autoSpaceDE/>
              <w:autoSpaceDN/>
              <w:bidi w:val="0"/>
              <w:adjustRightInd/>
              <w:snapToGrid w:val="0"/>
              <w:ind w:firstLine="0" w:firstLineChars="0"/>
              <w:jc w:val="center"/>
              <w:textAlignment w:val="auto"/>
              <w:rPr>
                <w:rFonts w:hint="eastAsia" w:cs="Times New Roman"/>
                <w:highlight w:val="none"/>
                <w:lang w:val="en-US" w:eastAsia="zh-CN"/>
              </w:rPr>
            </w:pPr>
          </w:p>
        </w:tc>
        <w:tc>
          <w:tcPr>
            <w:tcW w:w="328" w:type="pct"/>
            <w:shd w:val="clear" w:color="auto" w:fill="auto"/>
            <w:vAlign w:val="center"/>
          </w:tcPr>
          <w:p w14:paraId="58D13393">
            <w:pPr>
              <w:keepNext w:val="0"/>
              <w:keepLines/>
              <w:widowControl/>
              <w:suppressLineNumbers w:val="0"/>
              <w:ind w:left="0" w:leftChars="0" w:firstLine="0" w:firstLineChars="0"/>
              <w:jc w:val="center"/>
              <w:textAlignment w:val="center"/>
              <w:rPr>
                <w:rFonts w:hint="eastAsia" w:eastAsia="宋体" w:cs="Times New Roman"/>
                <w:sz w:val="24"/>
                <w:szCs w:val="24"/>
                <w:highlight w:val="none"/>
              </w:rPr>
            </w:pPr>
            <w:r>
              <w:rPr>
                <w:rFonts w:hint="eastAsia" w:eastAsia="宋体" w:cs="Times New Roman"/>
                <w:sz w:val="24"/>
                <w:szCs w:val="24"/>
                <w:highlight w:val="none"/>
              </w:rPr>
              <w:t>引导企业履行社会责任</w:t>
            </w:r>
          </w:p>
        </w:tc>
        <w:tc>
          <w:tcPr>
            <w:tcW w:w="3414" w:type="pct"/>
            <w:gridSpan w:val="2"/>
            <w:shd w:val="clear" w:color="auto" w:fill="auto"/>
            <w:vAlign w:val="center"/>
          </w:tcPr>
          <w:p w14:paraId="058A62E3">
            <w:pPr>
              <w:keepNext w:val="0"/>
              <w:keepLines/>
              <w:widowControl/>
              <w:suppressLineNumbers w:val="0"/>
              <w:ind w:left="0" w:leftChars="0" w:firstLine="0" w:firstLineChars="0"/>
              <w:jc w:val="both"/>
              <w:textAlignment w:val="center"/>
              <w:rPr>
                <w:rFonts w:hint="eastAsia" w:eastAsia="宋体" w:cs="Times New Roman"/>
                <w:sz w:val="24"/>
                <w:szCs w:val="24"/>
                <w:highlight w:val="none"/>
                <w:lang w:eastAsia="zh-CN"/>
              </w:rPr>
            </w:pPr>
            <w:r>
              <w:rPr>
                <w:rFonts w:hint="eastAsia" w:eastAsia="宋体" w:cs="Times New Roman"/>
                <w:sz w:val="24"/>
                <w:szCs w:val="24"/>
                <w:highlight w:val="none"/>
              </w:rPr>
              <w:t>引导企业主动适应绿色低碳发展要求，强化环境责任意识，加强能源资源节约，提升绿色创新水平，自觉加快绿色转型进程</w:t>
            </w:r>
            <w:r>
              <w:rPr>
                <w:rFonts w:hint="eastAsia" w:eastAsia="宋体" w:cs="Times New Roman"/>
                <w:sz w:val="24"/>
                <w:szCs w:val="24"/>
                <w:highlight w:val="none"/>
                <w:lang w:eastAsia="zh-CN"/>
              </w:rPr>
              <w:t>；</w:t>
            </w:r>
            <w:r>
              <w:rPr>
                <w:rFonts w:hint="eastAsia" w:eastAsia="宋体" w:cs="Times New Roman"/>
                <w:sz w:val="24"/>
                <w:szCs w:val="24"/>
                <w:highlight w:val="none"/>
              </w:rPr>
              <w:t>重点用能单位要梳理核算自身碳排放情况，深入研究碳减排路径，“一企一策”制定专项工作方案，推进节能降碳</w:t>
            </w:r>
            <w:r>
              <w:rPr>
                <w:rFonts w:hint="eastAsia" w:eastAsia="宋体" w:cs="Times New Roman"/>
                <w:sz w:val="24"/>
                <w:szCs w:val="24"/>
                <w:highlight w:val="none"/>
                <w:lang w:eastAsia="zh-CN"/>
              </w:rPr>
              <w:t>。</w:t>
            </w:r>
          </w:p>
        </w:tc>
        <w:tc>
          <w:tcPr>
            <w:tcW w:w="654" w:type="pct"/>
            <w:shd w:val="clear" w:color="auto" w:fill="auto"/>
            <w:vAlign w:val="center"/>
          </w:tcPr>
          <w:p w14:paraId="05ADF1F3">
            <w:pPr>
              <w:keepNext w:val="0"/>
              <w:keepLines/>
              <w:widowControl/>
              <w:suppressLineNumbers w:val="0"/>
              <w:ind w:left="0" w:leftChars="0" w:firstLine="0" w:firstLineChars="0"/>
              <w:jc w:val="center"/>
              <w:textAlignment w:val="center"/>
              <w:rPr>
                <w:rFonts w:hint="eastAsia" w:eastAsia="宋体" w:cs="Times New Roman"/>
                <w:sz w:val="24"/>
                <w:szCs w:val="24"/>
                <w:highlight w:val="none"/>
                <w:lang w:eastAsia="zh-CN"/>
              </w:rPr>
            </w:pPr>
            <w:r>
              <w:rPr>
                <w:rFonts w:hint="eastAsia" w:eastAsia="宋体" w:cs="Times New Roman"/>
                <w:sz w:val="24"/>
                <w:szCs w:val="24"/>
                <w:highlight w:val="none"/>
                <w:lang w:eastAsia="zh-CN"/>
              </w:rPr>
              <w:t>综合办公室</w:t>
            </w:r>
            <w:r>
              <w:rPr>
                <w:rFonts w:hint="eastAsia" w:eastAsia="宋体" w:cs="Times New Roman"/>
                <w:sz w:val="24"/>
                <w:szCs w:val="24"/>
                <w:highlight w:val="none"/>
              </w:rPr>
              <w:t>、</w:t>
            </w:r>
            <w:r>
              <w:rPr>
                <w:rFonts w:hint="eastAsia" w:eastAsia="宋体" w:cs="Times New Roman"/>
                <w:sz w:val="24"/>
                <w:szCs w:val="24"/>
                <w:highlight w:val="none"/>
                <w:lang w:eastAsia="zh-CN"/>
              </w:rPr>
              <w:t>经济发展局</w:t>
            </w:r>
            <w:r>
              <w:rPr>
                <w:rFonts w:hint="eastAsia" w:eastAsia="宋体" w:cs="Times New Roman"/>
                <w:sz w:val="24"/>
                <w:szCs w:val="24"/>
                <w:highlight w:val="none"/>
              </w:rPr>
              <w:t>、</w:t>
            </w:r>
            <w:r>
              <w:rPr>
                <w:rFonts w:hint="eastAsia" w:eastAsia="宋体" w:cs="Times New Roman"/>
                <w:sz w:val="24"/>
                <w:szCs w:val="24"/>
                <w:highlight w:val="none"/>
                <w:lang w:eastAsia="zh-CN"/>
              </w:rPr>
              <w:t>投资促进局</w:t>
            </w:r>
          </w:p>
        </w:tc>
      </w:tr>
      <w:tr w14:paraId="3D425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8" w:type="pct"/>
            <w:vAlign w:val="center"/>
          </w:tcPr>
          <w:p w14:paraId="2AAAA501">
            <w:pPr>
              <w:keepNext w:val="0"/>
              <w:keepLines/>
              <w:widowControl/>
              <w:numPr>
                <w:ilvl w:val="0"/>
                <w:numId w:val="1"/>
              </w:numPr>
              <w:suppressLineNumbers w:val="0"/>
              <w:tabs>
                <w:tab w:val="clear" w:pos="0"/>
              </w:tabs>
              <w:ind w:left="454" w:leftChars="0" w:hanging="454" w:firstLineChars="0"/>
              <w:jc w:val="center"/>
              <w:textAlignment w:val="center"/>
              <w:rPr>
                <w:rFonts w:hint="eastAsia" w:eastAsia="宋体" w:cs="Times New Roman"/>
                <w:kern w:val="2"/>
                <w:sz w:val="24"/>
                <w:szCs w:val="24"/>
                <w:highlight w:val="none"/>
                <w:lang w:val="en-US" w:eastAsia="zh-CN" w:bidi="ar-SA"/>
              </w:rPr>
            </w:pPr>
          </w:p>
        </w:tc>
        <w:tc>
          <w:tcPr>
            <w:tcW w:w="325" w:type="pct"/>
            <w:vMerge w:val="continue"/>
            <w:vAlign w:val="center"/>
          </w:tcPr>
          <w:p w14:paraId="75FEAADD">
            <w:pPr>
              <w:pStyle w:val="35"/>
              <w:keepNext w:val="0"/>
              <w:keepLines/>
              <w:pageBreakBefore w:val="0"/>
              <w:widowControl/>
              <w:kinsoku/>
              <w:wordWrap/>
              <w:overflowPunct w:val="0"/>
              <w:topLinePunct w:val="0"/>
              <w:autoSpaceDE/>
              <w:autoSpaceDN/>
              <w:bidi w:val="0"/>
              <w:adjustRightInd/>
              <w:snapToGrid w:val="0"/>
              <w:ind w:firstLine="0" w:firstLineChars="0"/>
              <w:jc w:val="center"/>
              <w:textAlignment w:val="auto"/>
              <w:rPr>
                <w:rFonts w:hint="eastAsia" w:cs="Times New Roman"/>
                <w:highlight w:val="none"/>
                <w:lang w:val="en-US" w:eastAsia="zh-CN"/>
              </w:rPr>
            </w:pPr>
          </w:p>
        </w:tc>
        <w:tc>
          <w:tcPr>
            <w:tcW w:w="328" w:type="pct"/>
            <w:shd w:val="clear" w:color="auto" w:fill="auto"/>
            <w:vAlign w:val="center"/>
          </w:tcPr>
          <w:p w14:paraId="60AD9617">
            <w:pPr>
              <w:keepNext w:val="0"/>
              <w:keepLines/>
              <w:widowControl/>
              <w:suppressLineNumbers w:val="0"/>
              <w:ind w:left="0" w:leftChars="0" w:firstLine="0" w:firstLineChars="0"/>
              <w:jc w:val="center"/>
              <w:textAlignment w:val="center"/>
              <w:rPr>
                <w:rFonts w:hint="eastAsia" w:eastAsia="宋体" w:cs="Times New Roman"/>
                <w:sz w:val="24"/>
                <w:szCs w:val="24"/>
                <w:highlight w:val="none"/>
              </w:rPr>
            </w:pPr>
            <w:r>
              <w:rPr>
                <w:rFonts w:hint="eastAsia" w:eastAsia="宋体" w:cs="Times New Roman"/>
                <w:sz w:val="24"/>
                <w:szCs w:val="24"/>
                <w:highlight w:val="none"/>
              </w:rPr>
              <w:t>强化领导干部培训</w:t>
            </w:r>
          </w:p>
        </w:tc>
        <w:tc>
          <w:tcPr>
            <w:tcW w:w="3414" w:type="pct"/>
            <w:gridSpan w:val="2"/>
            <w:shd w:val="clear" w:color="auto" w:fill="auto"/>
            <w:vAlign w:val="center"/>
          </w:tcPr>
          <w:p w14:paraId="0D22189E">
            <w:pPr>
              <w:keepNext w:val="0"/>
              <w:keepLines/>
              <w:widowControl/>
              <w:suppressLineNumbers w:val="0"/>
              <w:ind w:left="0" w:leftChars="0" w:firstLine="0" w:firstLineChars="0"/>
              <w:jc w:val="both"/>
              <w:textAlignment w:val="center"/>
              <w:rPr>
                <w:rFonts w:hint="eastAsia" w:eastAsia="宋体" w:cs="Times New Roman"/>
                <w:sz w:val="24"/>
                <w:szCs w:val="24"/>
                <w:highlight w:val="none"/>
                <w:lang w:eastAsia="zh-CN"/>
              </w:rPr>
            </w:pPr>
            <w:r>
              <w:rPr>
                <w:rFonts w:hint="eastAsia" w:eastAsia="宋体" w:cs="Times New Roman"/>
                <w:sz w:val="24"/>
                <w:szCs w:val="24"/>
                <w:highlight w:val="none"/>
              </w:rPr>
              <w:t>加强各级领导干部碳达峰、碳中和教育培训，将学习贯彻习近平生态文明思想作为干部教育培训的核心内容，将碳达峰、碳中和相关内容列入教学计划，分阶段、多层次对各级领导干部开展培训，普及科学知识，宣讲政策要点，深化各级领导干部对碳达峰、碳中和工作重要性、紧迫性、科学性、系统性的认识。</w:t>
            </w:r>
          </w:p>
        </w:tc>
        <w:tc>
          <w:tcPr>
            <w:tcW w:w="654" w:type="pct"/>
            <w:shd w:val="clear" w:color="auto" w:fill="auto"/>
            <w:vAlign w:val="center"/>
          </w:tcPr>
          <w:p w14:paraId="1D88F20A">
            <w:pPr>
              <w:keepNext w:val="0"/>
              <w:keepLines/>
              <w:widowControl/>
              <w:suppressLineNumbers w:val="0"/>
              <w:ind w:left="0" w:leftChars="0" w:firstLine="0" w:firstLineChars="0"/>
              <w:jc w:val="center"/>
              <w:textAlignment w:val="center"/>
              <w:rPr>
                <w:rFonts w:hint="eastAsia" w:eastAsia="宋体" w:cs="Times New Roman"/>
                <w:sz w:val="24"/>
                <w:szCs w:val="24"/>
                <w:highlight w:val="none"/>
              </w:rPr>
            </w:pPr>
            <w:r>
              <w:rPr>
                <w:rFonts w:hint="eastAsia" w:eastAsia="宋体" w:cs="Times New Roman"/>
                <w:sz w:val="24"/>
                <w:szCs w:val="24"/>
                <w:highlight w:val="none"/>
                <w:lang w:eastAsia="zh-CN"/>
              </w:rPr>
              <w:t>经济发展局</w:t>
            </w:r>
            <w:r>
              <w:rPr>
                <w:rFonts w:hint="eastAsia" w:eastAsia="宋体" w:cs="Times New Roman"/>
                <w:sz w:val="24"/>
                <w:szCs w:val="24"/>
                <w:highlight w:val="none"/>
              </w:rPr>
              <w:t>、</w:t>
            </w:r>
            <w:r>
              <w:rPr>
                <w:rFonts w:hint="eastAsia" w:eastAsia="宋体" w:cs="Times New Roman"/>
                <w:sz w:val="24"/>
                <w:szCs w:val="24"/>
                <w:highlight w:val="none"/>
                <w:lang w:eastAsia="zh-CN"/>
              </w:rPr>
              <w:t>投资促进局</w:t>
            </w:r>
            <w:r>
              <w:rPr>
                <w:rFonts w:hint="eastAsia" w:eastAsia="宋体" w:cs="Times New Roman"/>
                <w:sz w:val="24"/>
                <w:szCs w:val="24"/>
                <w:highlight w:val="none"/>
              </w:rPr>
              <w:t>、高新区专项工作组</w:t>
            </w:r>
          </w:p>
        </w:tc>
      </w:tr>
      <w:tr w14:paraId="4EF3C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8" w:type="pct"/>
            <w:vAlign w:val="center"/>
          </w:tcPr>
          <w:p w14:paraId="49756B6F">
            <w:pPr>
              <w:keepNext w:val="0"/>
              <w:keepLines/>
              <w:widowControl/>
              <w:numPr>
                <w:ilvl w:val="0"/>
                <w:numId w:val="1"/>
              </w:numPr>
              <w:suppressLineNumbers w:val="0"/>
              <w:tabs>
                <w:tab w:val="clear" w:pos="0"/>
              </w:tabs>
              <w:ind w:left="454" w:leftChars="0" w:hanging="454" w:firstLineChars="0"/>
              <w:jc w:val="center"/>
              <w:textAlignment w:val="center"/>
              <w:rPr>
                <w:rFonts w:hint="eastAsia" w:eastAsia="宋体" w:cs="Times New Roman"/>
                <w:kern w:val="2"/>
                <w:sz w:val="24"/>
                <w:szCs w:val="24"/>
                <w:highlight w:val="none"/>
                <w:lang w:val="en-US" w:eastAsia="zh-CN" w:bidi="ar-SA"/>
              </w:rPr>
            </w:pPr>
          </w:p>
        </w:tc>
        <w:tc>
          <w:tcPr>
            <w:tcW w:w="325" w:type="pct"/>
            <w:vMerge w:val="restart"/>
            <w:vAlign w:val="center"/>
          </w:tcPr>
          <w:p w14:paraId="06A0B0BA">
            <w:pPr>
              <w:pStyle w:val="35"/>
              <w:keepNext w:val="0"/>
              <w:keepLines/>
              <w:pageBreakBefore w:val="0"/>
              <w:widowControl/>
              <w:kinsoku/>
              <w:wordWrap/>
              <w:overflowPunct w:val="0"/>
              <w:topLinePunct w:val="0"/>
              <w:autoSpaceDE/>
              <w:autoSpaceDN/>
              <w:bidi w:val="0"/>
              <w:adjustRightInd/>
              <w:snapToGrid w:val="0"/>
              <w:ind w:firstLine="0" w:firstLineChars="0"/>
              <w:jc w:val="center"/>
              <w:textAlignment w:val="auto"/>
              <w:rPr>
                <w:rFonts w:hint="default" w:cs="Times New Roman"/>
                <w:highlight w:val="none"/>
                <w:lang w:val="en-US" w:eastAsia="zh-CN"/>
              </w:rPr>
            </w:pPr>
            <w:r>
              <w:rPr>
                <w:rFonts w:hint="eastAsia" w:cs="Times New Roman"/>
                <w:highlight w:val="none"/>
                <w:lang w:val="en-US" w:eastAsia="zh-CN"/>
              </w:rPr>
              <w:t>保障措施</w:t>
            </w:r>
          </w:p>
        </w:tc>
        <w:tc>
          <w:tcPr>
            <w:tcW w:w="328" w:type="pct"/>
            <w:shd w:val="clear" w:color="auto" w:fill="auto"/>
            <w:vAlign w:val="center"/>
          </w:tcPr>
          <w:p w14:paraId="53699D1E">
            <w:pPr>
              <w:keepNext w:val="0"/>
              <w:keepLines/>
              <w:widowControl/>
              <w:suppressLineNumbers w:val="0"/>
              <w:ind w:left="0" w:leftChars="0" w:firstLine="0" w:firstLineChars="0"/>
              <w:jc w:val="center"/>
              <w:textAlignment w:val="center"/>
              <w:rPr>
                <w:rFonts w:hint="eastAsia" w:eastAsia="宋体" w:cs="Times New Roman"/>
                <w:sz w:val="24"/>
                <w:szCs w:val="24"/>
                <w:highlight w:val="none"/>
              </w:rPr>
            </w:pPr>
            <w:r>
              <w:rPr>
                <w:rFonts w:hint="eastAsia" w:eastAsia="宋体" w:cs="Times New Roman"/>
                <w:sz w:val="24"/>
                <w:szCs w:val="24"/>
                <w:highlight w:val="none"/>
              </w:rPr>
              <w:t>加强组织领导</w:t>
            </w:r>
          </w:p>
        </w:tc>
        <w:tc>
          <w:tcPr>
            <w:tcW w:w="3414" w:type="pct"/>
            <w:gridSpan w:val="2"/>
            <w:shd w:val="clear" w:color="auto" w:fill="auto"/>
            <w:vAlign w:val="center"/>
          </w:tcPr>
          <w:p w14:paraId="4FFBB21C">
            <w:pPr>
              <w:keepNext w:val="0"/>
              <w:keepLines/>
              <w:widowControl/>
              <w:suppressLineNumbers w:val="0"/>
              <w:ind w:left="0" w:leftChars="0" w:firstLine="0" w:firstLineChars="0"/>
              <w:jc w:val="both"/>
              <w:textAlignment w:val="center"/>
              <w:rPr>
                <w:rFonts w:hint="eastAsia" w:eastAsia="宋体" w:cs="Times New Roman"/>
                <w:sz w:val="24"/>
                <w:szCs w:val="24"/>
                <w:highlight w:val="none"/>
                <w:lang w:eastAsia="zh-CN"/>
              </w:rPr>
            </w:pPr>
            <w:r>
              <w:rPr>
                <w:rFonts w:hint="eastAsia" w:eastAsia="宋体" w:cs="Times New Roman"/>
                <w:sz w:val="24"/>
                <w:szCs w:val="24"/>
                <w:highlight w:val="none"/>
              </w:rPr>
              <w:t>加强党工委对碳达峰、碳中和工作的领导，落实领导干部生态文明建设责任制</w:t>
            </w:r>
            <w:r>
              <w:rPr>
                <w:rFonts w:hint="eastAsia" w:eastAsia="宋体" w:cs="Times New Roman"/>
                <w:sz w:val="24"/>
                <w:szCs w:val="24"/>
                <w:highlight w:val="none"/>
                <w:lang w:eastAsia="zh-CN"/>
              </w:rPr>
              <w:t>。</w:t>
            </w:r>
          </w:p>
        </w:tc>
        <w:tc>
          <w:tcPr>
            <w:tcW w:w="654" w:type="pct"/>
            <w:shd w:val="clear" w:color="auto" w:fill="auto"/>
            <w:vAlign w:val="center"/>
          </w:tcPr>
          <w:p w14:paraId="6107C36F">
            <w:pPr>
              <w:keepNext w:val="0"/>
              <w:keepLines/>
              <w:widowControl/>
              <w:suppressLineNumbers w:val="0"/>
              <w:ind w:left="0" w:leftChars="0" w:firstLine="0" w:firstLineChars="0"/>
              <w:jc w:val="center"/>
              <w:textAlignment w:val="center"/>
              <w:rPr>
                <w:rFonts w:hint="eastAsia" w:eastAsia="宋体" w:cs="Times New Roman"/>
                <w:sz w:val="24"/>
                <w:szCs w:val="24"/>
                <w:highlight w:val="none"/>
                <w:lang w:eastAsia="zh-CN"/>
              </w:rPr>
            </w:pPr>
            <w:r>
              <w:rPr>
                <w:rFonts w:hint="eastAsia" w:eastAsia="宋体" w:cs="Times New Roman"/>
                <w:sz w:val="24"/>
                <w:szCs w:val="24"/>
                <w:highlight w:val="none"/>
                <w:lang w:eastAsia="zh-CN"/>
              </w:rPr>
              <w:t>综合办公室</w:t>
            </w:r>
            <w:r>
              <w:rPr>
                <w:rFonts w:hint="eastAsia" w:eastAsia="宋体" w:cs="Times New Roman"/>
                <w:sz w:val="24"/>
                <w:szCs w:val="24"/>
                <w:highlight w:val="none"/>
              </w:rPr>
              <w:t>、</w:t>
            </w:r>
            <w:r>
              <w:rPr>
                <w:rFonts w:hint="eastAsia" w:eastAsia="宋体" w:cs="Times New Roman"/>
                <w:sz w:val="24"/>
                <w:szCs w:val="24"/>
                <w:highlight w:val="none"/>
                <w:lang w:eastAsia="zh-CN"/>
              </w:rPr>
              <w:t>经济发展局</w:t>
            </w:r>
          </w:p>
        </w:tc>
      </w:tr>
      <w:tr w14:paraId="73603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8" w:type="pct"/>
            <w:vAlign w:val="center"/>
          </w:tcPr>
          <w:p w14:paraId="5C87BEA7">
            <w:pPr>
              <w:keepNext w:val="0"/>
              <w:keepLines/>
              <w:widowControl/>
              <w:numPr>
                <w:ilvl w:val="0"/>
                <w:numId w:val="1"/>
              </w:numPr>
              <w:suppressLineNumbers w:val="0"/>
              <w:tabs>
                <w:tab w:val="clear" w:pos="0"/>
              </w:tabs>
              <w:ind w:left="454" w:leftChars="0" w:hanging="454" w:firstLineChars="0"/>
              <w:jc w:val="center"/>
              <w:textAlignment w:val="center"/>
              <w:rPr>
                <w:rFonts w:hint="eastAsia" w:eastAsia="宋体" w:cs="Times New Roman"/>
                <w:kern w:val="2"/>
                <w:sz w:val="24"/>
                <w:szCs w:val="24"/>
                <w:highlight w:val="none"/>
                <w:lang w:val="en-US" w:eastAsia="zh-CN" w:bidi="ar-SA"/>
              </w:rPr>
            </w:pPr>
          </w:p>
        </w:tc>
        <w:tc>
          <w:tcPr>
            <w:tcW w:w="325" w:type="pct"/>
            <w:vMerge w:val="continue"/>
            <w:vAlign w:val="center"/>
          </w:tcPr>
          <w:p w14:paraId="7BCAB6F4">
            <w:pPr>
              <w:pStyle w:val="35"/>
              <w:keepNext w:val="0"/>
              <w:keepLines/>
              <w:pageBreakBefore w:val="0"/>
              <w:widowControl/>
              <w:kinsoku/>
              <w:wordWrap/>
              <w:overflowPunct w:val="0"/>
              <w:topLinePunct w:val="0"/>
              <w:autoSpaceDE/>
              <w:autoSpaceDN/>
              <w:bidi w:val="0"/>
              <w:adjustRightInd/>
              <w:snapToGrid w:val="0"/>
              <w:ind w:firstLine="0" w:firstLineChars="0"/>
              <w:jc w:val="center"/>
              <w:textAlignment w:val="auto"/>
              <w:rPr>
                <w:rFonts w:hint="eastAsia" w:cs="Times New Roman"/>
                <w:highlight w:val="none"/>
                <w:lang w:val="en-US" w:eastAsia="zh-CN"/>
              </w:rPr>
            </w:pPr>
          </w:p>
        </w:tc>
        <w:tc>
          <w:tcPr>
            <w:tcW w:w="328" w:type="pct"/>
            <w:shd w:val="clear" w:color="auto" w:fill="auto"/>
            <w:vAlign w:val="center"/>
          </w:tcPr>
          <w:p w14:paraId="5160BD30">
            <w:pPr>
              <w:keepNext w:val="0"/>
              <w:keepLines/>
              <w:widowControl/>
              <w:suppressLineNumbers w:val="0"/>
              <w:ind w:left="0" w:leftChars="0" w:firstLine="0" w:firstLineChars="0"/>
              <w:jc w:val="center"/>
              <w:textAlignment w:val="center"/>
              <w:rPr>
                <w:rFonts w:hint="eastAsia" w:eastAsia="宋体" w:cs="Times New Roman"/>
                <w:sz w:val="24"/>
                <w:szCs w:val="24"/>
                <w:highlight w:val="none"/>
              </w:rPr>
            </w:pPr>
            <w:r>
              <w:rPr>
                <w:rFonts w:hint="eastAsia" w:eastAsia="宋体" w:cs="Times New Roman"/>
                <w:sz w:val="24"/>
                <w:szCs w:val="24"/>
                <w:highlight w:val="none"/>
              </w:rPr>
              <w:t>做好协调联动</w:t>
            </w:r>
          </w:p>
        </w:tc>
        <w:tc>
          <w:tcPr>
            <w:tcW w:w="3414" w:type="pct"/>
            <w:gridSpan w:val="2"/>
            <w:shd w:val="clear" w:color="auto" w:fill="auto"/>
            <w:vAlign w:val="center"/>
          </w:tcPr>
          <w:p w14:paraId="7D19685C">
            <w:pPr>
              <w:keepNext w:val="0"/>
              <w:keepLines/>
              <w:widowControl/>
              <w:suppressLineNumbers w:val="0"/>
              <w:ind w:left="0" w:leftChars="0" w:firstLine="0" w:firstLineChars="0"/>
              <w:jc w:val="both"/>
              <w:textAlignment w:val="center"/>
              <w:rPr>
                <w:rFonts w:hint="eastAsia" w:eastAsia="宋体" w:cs="Times New Roman"/>
                <w:sz w:val="24"/>
                <w:szCs w:val="24"/>
                <w:highlight w:val="none"/>
              </w:rPr>
            </w:pPr>
            <w:r>
              <w:rPr>
                <w:rFonts w:hint="eastAsia" w:eastAsia="宋体" w:cs="Times New Roman"/>
                <w:sz w:val="24"/>
                <w:szCs w:val="24"/>
                <w:highlight w:val="none"/>
              </w:rPr>
              <w:t>将碳达峰、碳中和工作的目标要求贯穿开发区经济社会发展全过程和各领域，融入经济社会发展中长期规划，强化国土空间规划、专项规划、区域规划对碳达峰、碳中和的支持保障。加强各级各类规划衔接协调，确保各部门落实碳达峰的主要目标、发展方向、重大政策、重大工程等协调一致</w:t>
            </w:r>
            <w:r>
              <w:rPr>
                <w:rFonts w:hint="eastAsia" w:eastAsia="宋体" w:cs="Times New Roman"/>
                <w:sz w:val="24"/>
                <w:szCs w:val="24"/>
                <w:highlight w:val="none"/>
                <w:lang w:eastAsia="zh-CN"/>
              </w:rPr>
              <w:t>。</w:t>
            </w:r>
          </w:p>
        </w:tc>
        <w:tc>
          <w:tcPr>
            <w:tcW w:w="654" w:type="pct"/>
            <w:shd w:val="clear" w:color="auto" w:fill="auto"/>
            <w:vAlign w:val="center"/>
          </w:tcPr>
          <w:p w14:paraId="6A6BCF7D">
            <w:pPr>
              <w:keepNext w:val="0"/>
              <w:keepLines/>
              <w:widowControl/>
              <w:suppressLineNumbers w:val="0"/>
              <w:ind w:left="0" w:leftChars="0" w:firstLine="0" w:firstLineChars="0"/>
              <w:jc w:val="center"/>
              <w:textAlignment w:val="center"/>
              <w:rPr>
                <w:rFonts w:hint="eastAsia" w:eastAsia="宋体" w:cs="Times New Roman"/>
                <w:sz w:val="24"/>
                <w:szCs w:val="24"/>
                <w:highlight w:val="none"/>
              </w:rPr>
            </w:pPr>
            <w:r>
              <w:rPr>
                <w:rFonts w:hint="eastAsia" w:eastAsia="宋体" w:cs="Times New Roman"/>
                <w:sz w:val="24"/>
                <w:szCs w:val="24"/>
                <w:highlight w:val="none"/>
                <w:lang w:eastAsia="zh-CN"/>
              </w:rPr>
              <w:t>综合办公室</w:t>
            </w:r>
            <w:r>
              <w:rPr>
                <w:rFonts w:hint="eastAsia" w:eastAsia="宋体" w:cs="Times New Roman"/>
                <w:sz w:val="24"/>
                <w:szCs w:val="24"/>
                <w:highlight w:val="none"/>
              </w:rPr>
              <w:t>、</w:t>
            </w:r>
            <w:r>
              <w:rPr>
                <w:rFonts w:hint="eastAsia" w:eastAsia="宋体" w:cs="Times New Roman"/>
                <w:sz w:val="24"/>
                <w:szCs w:val="24"/>
                <w:highlight w:val="none"/>
                <w:lang w:eastAsia="zh-CN"/>
              </w:rPr>
              <w:t>投资促进局</w:t>
            </w:r>
            <w:r>
              <w:rPr>
                <w:rFonts w:hint="eastAsia" w:eastAsia="宋体" w:cs="Times New Roman"/>
                <w:sz w:val="24"/>
                <w:szCs w:val="24"/>
                <w:highlight w:val="none"/>
              </w:rPr>
              <w:t>、</w:t>
            </w:r>
            <w:r>
              <w:rPr>
                <w:rFonts w:hint="eastAsia" w:eastAsia="宋体" w:cs="Times New Roman"/>
                <w:sz w:val="24"/>
                <w:szCs w:val="24"/>
                <w:highlight w:val="none"/>
                <w:lang w:eastAsia="zh-CN"/>
              </w:rPr>
              <w:t>经济发展局</w:t>
            </w:r>
            <w:r>
              <w:rPr>
                <w:rFonts w:hint="eastAsia" w:eastAsia="宋体" w:cs="Times New Roman"/>
                <w:sz w:val="24"/>
                <w:szCs w:val="24"/>
                <w:highlight w:val="none"/>
              </w:rPr>
              <w:t>、</w:t>
            </w:r>
            <w:r>
              <w:rPr>
                <w:rFonts w:hint="eastAsia" w:eastAsia="宋体" w:cs="Times New Roman"/>
                <w:sz w:val="24"/>
                <w:szCs w:val="24"/>
                <w:highlight w:val="none"/>
                <w:lang w:eastAsia="zh-CN"/>
              </w:rPr>
              <w:t>财政局</w:t>
            </w:r>
            <w:r>
              <w:rPr>
                <w:rFonts w:hint="eastAsia" w:eastAsia="宋体" w:cs="Times New Roman"/>
                <w:sz w:val="24"/>
                <w:szCs w:val="24"/>
                <w:highlight w:val="none"/>
              </w:rPr>
              <w:t>、</w:t>
            </w:r>
            <w:r>
              <w:rPr>
                <w:rFonts w:hint="eastAsia" w:eastAsia="宋体" w:cs="Times New Roman"/>
                <w:sz w:val="24"/>
                <w:szCs w:val="24"/>
                <w:highlight w:val="none"/>
                <w:lang w:eastAsia="zh-CN"/>
              </w:rPr>
              <w:t>应急管理局</w:t>
            </w:r>
            <w:r>
              <w:rPr>
                <w:rFonts w:hint="eastAsia" w:eastAsia="宋体" w:cs="Times New Roman"/>
                <w:sz w:val="24"/>
                <w:szCs w:val="24"/>
                <w:highlight w:val="none"/>
              </w:rPr>
              <w:t>、高新区专项工作组、</w:t>
            </w:r>
            <w:r>
              <w:rPr>
                <w:rFonts w:hint="eastAsia" w:eastAsia="宋体" w:cs="Times New Roman"/>
                <w:sz w:val="24"/>
                <w:szCs w:val="24"/>
                <w:highlight w:val="none"/>
                <w:lang w:eastAsia="zh-CN"/>
              </w:rPr>
              <w:t>规划建设局</w:t>
            </w:r>
            <w:r>
              <w:rPr>
                <w:rFonts w:hint="eastAsia" w:eastAsia="宋体" w:cs="Times New Roman"/>
                <w:sz w:val="24"/>
                <w:szCs w:val="24"/>
                <w:highlight w:val="none"/>
              </w:rPr>
              <w:t>、十户滩新材料工业园区管理办公室、平台公司</w:t>
            </w:r>
          </w:p>
        </w:tc>
      </w:tr>
      <w:tr w14:paraId="7D524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8" w:type="pct"/>
            <w:vAlign w:val="center"/>
          </w:tcPr>
          <w:p w14:paraId="4BEF1885">
            <w:pPr>
              <w:keepNext w:val="0"/>
              <w:keepLines/>
              <w:widowControl/>
              <w:numPr>
                <w:ilvl w:val="0"/>
                <w:numId w:val="1"/>
              </w:numPr>
              <w:suppressLineNumbers w:val="0"/>
              <w:tabs>
                <w:tab w:val="clear" w:pos="0"/>
              </w:tabs>
              <w:ind w:left="454" w:leftChars="0" w:hanging="454" w:firstLineChars="0"/>
              <w:jc w:val="center"/>
              <w:textAlignment w:val="center"/>
              <w:rPr>
                <w:rFonts w:hint="eastAsia" w:eastAsia="宋体" w:cs="Times New Roman"/>
                <w:kern w:val="2"/>
                <w:sz w:val="24"/>
                <w:szCs w:val="24"/>
                <w:highlight w:val="none"/>
                <w:lang w:val="en-US" w:eastAsia="zh-CN" w:bidi="ar-SA"/>
              </w:rPr>
            </w:pPr>
          </w:p>
        </w:tc>
        <w:tc>
          <w:tcPr>
            <w:tcW w:w="325" w:type="pct"/>
            <w:vMerge w:val="continue"/>
            <w:vAlign w:val="center"/>
          </w:tcPr>
          <w:p w14:paraId="6A53246A">
            <w:pPr>
              <w:pStyle w:val="35"/>
              <w:keepNext w:val="0"/>
              <w:keepLines/>
              <w:pageBreakBefore w:val="0"/>
              <w:widowControl/>
              <w:kinsoku/>
              <w:wordWrap/>
              <w:overflowPunct w:val="0"/>
              <w:topLinePunct w:val="0"/>
              <w:autoSpaceDE/>
              <w:autoSpaceDN/>
              <w:bidi w:val="0"/>
              <w:adjustRightInd/>
              <w:snapToGrid w:val="0"/>
              <w:ind w:firstLine="0" w:firstLineChars="0"/>
              <w:jc w:val="center"/>
              <w:textAlignment w:val="auto"/>
              <w:rPr>
                <w:rFonts w:hint="eastAsia" w:cs="Times New Roman"/>
                <w:highlight w:val="none"/>
                <w:lang w:val="en-US" w:eastAsia="zh-CN"/>
              </w:rPr>
            </w:pPr>
          </w:p>
        </w:tc>
        <w:tc>
          <w:tcPr>
            <w:tcW w:w="328" w:type="pct"/>
            <w:shd w:val="clear" w:color="auto" w:fill="auto"/>
            <w:vAlign w:val="center"/>
          </w:tcPr>
          <w:p w14:paraId="606D9A42">
            <w:pPr>
              <w:keepNext w:val="0"/>
              <w:keepLines/>
              <w:widowControl/>
              <w:suppressLineNumbers w:val="0"/>
              <w:ind w:left="0" w:leftChars="0" w:firstLine="0" w:firstLineChars="0"/>
              <w:jc w:val="center"/>
              <w:textAlignment w:val="center"/>
              <w:rPr>
                <w:rFonts w:hint="eastAsia" w:eastAsia="宋体" w:cs="Times New Roman"/>
                <w:sz w:val="24"/>
                <w:szCs w:val="24"/>
                <w:highlight w:val="none"/>
              </w:rPr>
            </w:pPr>
            <w:r>
              <w:rPr>
                <w:rFonts w:hint="eastAsia" w:eastAsia="宋体" w:cs="Times New Roman"/>
                <w:sz w:val="24"/>
                <w:szCs w:val="24"/>
                <w:highlight w:val="none"/>
              </w:rPr>
              <w:t>强化政策支持</w:t>
            </w:r>
          </w:p>
        </w:tc>
        <w:tc>
          <w:tcPr>
            <w:tcW w:w="3414" w:type="pct"/>
            <w:gridSpan w:val="2"/>
            <w:shd w:val="clear" w:color="auto" w:fill="auto"/>
            <w:vAlign w:val="center"/>
          </w:tcPr>
          <w:p w14:paraId="0EBC93AC">
            <w:pPr>
              <w:keepNext w:val="0"/>
              <w:keepLines/>
              <w:widowControl/>
              <w:suppressLineNumbers w:val="0"/>
              <w:ind w:left="0" w:leftChars="0" w:firstLine="0" w:firstLineChars="0"/>
              <w:jc w:val="both"/>
              <w:textAlignment w:val="center"/>
              <w:rPr>
                <w:rFonts w:hint="eastAsia" w:eastAsia="宋体" w:cs="Times New Roman"/>
                <w:sz w:val="24"/>
                <w:szCs w:val="24"/>
                <w:highlight w:val="none"/>
                <w:lang w:eastAsia="zh-CN"/>
              </w:rPr>
            </w:pPr>
            <w:r>
              <w:rPr>
                <w:rFonts w:hint="eastAsia" w:eastAsia="宋体" w:cs="Times New Roman"/>
                <w:sz w:val="24"/>
                <w:szCs w:val="24"/>
                <w:highlight w:val="none"/>
              </w:rPr>
              <w:t>统筹生态环境保护、节能降碳等资金，加大对碳达峰、碳中和工作支持力度</w:t>
            </w:r>
            <w:r>
              <w:rPr>
                <w:rFonts w:hint="eastAsia" w:eastAsia="宋体" w:cs="Times New Roman"/>
                <w:sz w:val="24"/>
                <w:szCs w:val="24"/>
                <w:highlight w:val="none"/>
                <w:lang w:eastAsia="zh-CN"/>
              </w:rPr>
              <w:t>；</w:t>
            </w:r>
            <w:r>
              <w:rPr>
                <w:rFonts w:hint="eastAsia" w:eastAsia="宋体" w:cs="Times New Roman"/>
                <w:sz w:val="24"/>
                <w:szCs w:val="24"/>
                <w:highlight w:val="none"/>
              </w:rPr>
              <w:t>依托国家两重两新、兵团节能高质量发展、师市工业高质量发展等专项资金，鼓励企业开展节能减碳技改、老旧重点用能设备更新、绿色制造体系申报、生态环境治理等项目</w:t>
            </w:r>
            <w:r>
              <w:rPr>
                <w:rFonts w:hint="eastAsia" w:eastAsia="宋体" w:cs="Times New Roman"/>
                <w:sz w:val="24"/>
                <w:szCs w:val="24"/>
                <w:highlight w:val="none"/>
                <w:lang w:eastAsia="zh-CN"/>
              </w:rPr>
              <w:t>；</w:t>
            </w:r>
            <w:r>
              <w:rPr>
                <w:rFonts w:hint="eastAsia" w:eastAsia="宋体" w:cs="Times New Roman"/>
                <w:sz w:val="24"/>
                <w:szCs w:val="24"/>
                <w:highlight w:val="none"/>
              </w:rPr>
              <w:t>落实好碳减排支持工具和支持煤炭清洁高效利用专项再贷款，鼓励金融机构深化绿色金融产品和服务模式创新，为绿色低碳项目提供信贷资金供给</w:t>
            </w:r>
            <w:r>
              <w:rPr>
                <w:rFonts w:hint="eastAsia" w:eastAsia="宋体" w:cs="Times New Roman"/>
                <w:sz w:val="24"/>
                <w:szCs w:val="24"/>
                <w:highlight w:val="none"/>
                <w:lang w:eastAsia="zh-CN"/>
              </w:rPr>
              <w:t>。</w:t>
            </w:r>
          </w:p>
        </w:tc>
        <w:tc>
          <w:tcPr>
            <w:tcW w:w="654" w:type="pct"/>
            <w:shd w:val="clear" w:color="auto" w:fill="auto"/>
            <w:vAlign w:val="center"/>
          </w:tcPr>
          <w:p w14:paraId="0CCA1B36">
            <w:pPr>
              <w:keepNext w:val="0"/>
              <w:keepLines/>
              <w:widowControl/>
              <w:suppressLineNumbers w:val="0"/>
              <w:ind w:left="0" w:leftChars="0" w:firstLine="0" w:firstLineChars="0"/>
              <w:jc w:val="center"/>
              <w:textAlignment w:val="center"/>
              <w:rPr>
                <w:rFonts w:hint="eastAsia" w:eastAsia="宋体" w:cs="Times New Roman"/>
                <w:sz w:val="24"/>
                <w:szCs w:val="24"/>
                <w:highlight w:val="none"/>
              </w:rPr>
            </w:pPr>
            <w:r>
              <w:rPr>
                <w:rFonts w:hint="eastAsia" w:eastAsia="宋体" w:cs="Times New Roman"/>
                <w:sz w:val="24"/>
                <w:szCs w:val="24"/>
                <w:highlight w:val="none"/>
                <w:lang w:eastAsia="zh-CN"/>
              </w:rPr>
              <w:t>经济发展局</w:t>
            </w:r>
            <w:r>
              <w:rPr>
                <w:rFonts w:hint="eastAsia" w:eastAsia="宋体" w:cs="Times New Roman"/>
                <w:sz w:val="24"/>
                <w:szCs w:val="24"/>
                <w:highlight w:val="none"/>
              </w:rPr>
              <w:t>、</w:t>
            </w:r>
            <w:r>
              <w:rPr>
                <w:rFonts w:hint="eastAsia" w:eastAsia="宋体" w:cs="Times New Roman"/>
                <w:sz w:val="24"/>
                <w:szCs w:val="24"/>
                <w:highlight w:val="none"/>
                <w:lang w:eastAsia="zh-CN"/>
              </w:rPr>
              <w:t>投资促进局</w:t>
            </w:r>
            <w:r>
              <w:rPr>
                <w:rFonts w:hint="eastAsia" w:eastAsia="宋体" w:cs="Times New Roman"/>
                <w:sz w:val="24"/>
                <w:szCs w:val="24"/>
                <w:highlight w:val="none"/>
              </w:rPr>
              <w:t>、</w:t>
            </w:r>
            <w:r>
              <w:rPr>
                <w:rFonts w:hint="eastAsia" w:eastAsia="宋体" w:cs="Times New Roman"/>
                <w:sz w:val="24"/>
                <w:szCs w:val="24"/>
                <w:highlight w:val="none"/>
                <w:lang w:eastAsia="zh-CN"/>
              </w:rPr>
              <w:t>财政局</w:t>
            </w:r>
            <w:r>
              <w:rPr>
                <w:rFonts w:hint="eastAsia" w:eastAsia="宋体" w:cs="Times New Roman"/>
                <w:sz w:val="24"/>
                <w:szCs w:val="24"/>
                <w:highlight w:val="none"/>
              </w:rPr>
              <w:t>、高新区专项工作组</w:t>
            </w:r>
          </w:p>
        </w:tc>
      </w:tr>
      <w:tr w14:paraId="74264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8" w:type="pct"/>
            <w:vAlign w:val="center"/>
          </w:tcPr>
          <w:p w14:paraId="2FCAF491">
            <w:pPr>
              <w:keepNext w:val="0"/>
              <w:keepLines/>
              <w:widowControl/>
              <w:numPr>
                <w:ilvl w:val="0"/>
                <w:numId w:val="1"/>
              </w:numPr>
              <w:suppressLineNumbers w:val="0"/>
              <w:tabs>
                <w:tab w:val="clear" w:pos="0"/>
              </w:tabs>
              <w:ind w:left="454" w:leftChars="0" w:hanging="454" w:firstLineChars="0"/>
              <w:jc w:val="center"/>
              <w:textAlignment w:val="center"/>
              <w:rPr>
                <w:rFonts w:hint="eastAsia" w:eastAsia="宋体" w:cs="Times New Roman"/>
                <w:kern w:val="2"/>
                <w:sz w:val="24"/>
                <w:szCs w:val="24"/>
                <w:highlight w:val="none"/>
                <w:lang w:val="en-US" w:eastAsia="zh-CN" w:bidi="ar-SA"/>
              </w:rPr>
            </w:pPr>
          </w:p>
        </w:tc>
        <w:tc>
          <w:tcPr>
            <w:tcW w:w="325" w:type="pct"/>
            <w:vMerge w:val="continue"/>
            <w:vAlign w:val="center"/>
          </w:tcPr>
          <w:p w14:paraId="0068995F">
            <w:pPr>
              <w:pStyle w:val="35"/>
              <w:keepNext w:val="0"/>
              <w:keepLines/>
              <w:pageBreakBefore w:val="0"/>
              <w:widowControl/>
              <w:kinsoku/>
              <w:wordWrap/>
              <w:overflowPunct w:val="0"/>
              <w:topLinePunct w:val="0"/>
              <w:autoSpaceDE/>
              <w:autoSpaceDN/>
              <w:bidi w:val="0"/>
              <w:adjustRightInd/>
              <w:snapToGrid w:val="0"/>
              <w:ind w:firstLine="0" w:firstLineChars="0"/>
              <w:jc w:val="center"/>
              <w:textAlignment w:val="auto"/>
              <w:rPr>
                <w:rFonts w:hint="eastAsia" w:cs="Times New Roman"/>
                <w:highlight w:val="none"/>
                <w:lang w:val="en-US" w:eastAsia="zh-CN"/>
              </w:rPr>
            </w:pPr>
          </w:p>
        </w:tc>
        <w:tc>
          <w:tcPr>
            <w:tcW w:w="328" w:type="pct"/>
            <w:shd w:val="clear" w:color="auto" w:fill="auto"/>
            <w:vAlign w:val="center"/>
          </w:tcPr>
          <w:p w14:paraId="4E6CA9BE">
            <w:pPr>
              <w:keepNext w:val="0"/>
              <w:keepLines/>
              <w:widowControl/>
              <w:suppressLineNumbers w:val="0"/>
              <w:ind w:left="0" w:leftChars="0" w:firstLine="0" w:firstLineChars="0"/>
              <w:jc w:val="center"/>
              <w:textAlignment w:val="center"/>
              <w:rPr>
                <w:rFonts w:hint="eastAsia" w:eastAsia="宋体" w:cs="Times New Roman"/>
                <w:sz w:val="24"/>
                <w:szCs w:val="24"/>
                <w:highlight w:val="none"/>
              </w:rPr>
            </w:pPr>
            <w:r>
              <w:rPr>
                <w:rFonts w:hint="eastAsia" w:eastAsia="宋体" w:cs="Times New Roman"/>
                <w:sz w:val="24"/>
                <w:szCs w:val="24"/>
                <w:highlight w:val="none"/>
              </w:rPr>
              <w:t>完善市场机制</w:t>
            </w:r>
          </w:p>
        </w:tc>
        <w:tc>
          <w:tcPr>
            <w:tcW w:w="3414" w:type="pct"/>
            <w:gridSpan w:val="2"/>
            <w:shd w:val="clear" w:color="auto" w:fill="auto"/>
            <w:vAlign w:val="center"/>
          </w:tcPr>
          <w:p w14:paraId="75D46BBF">
            <w:pPr>
              <w:keepNext w:val="0"/>
              <w:keepLines/>
              <w:widowControl/>
              <w:suppressLineNumbers w:val="0"/>
              <w:ind w:left="0" w:leftChars="0" w:firstLine="0" w:firstLineChars="0"/>
              <w:jc w:val="both"/>
              <w:textAlignment w:val="center"/>
              <w:rPr>
                <w:rFonts w:hint="eastAsia" w:eastAsia="宋体" w:cs="Times New Roman"/>
                <w:sz w:val="24"/>
                <w:szCs w:val="24"/>
                <w:highlight w:val="none"/>
                <w:lang w:eastAsia="zh-CN"/>
              </w:rPr>
            </w:pPr>
            <w:r>
              <w:rPr>
                <w:rFonts w:hint="eastAsia" w:eastAsia="宋体" w:cs="Times New Roman"/>
                <w:sz w:val="24"/>
                <w:szCs w:val="24"/>
                <w:highlight w:val="none"/>
              </w:rPr>
              <w:t>推动开发区内企业有序参与全国碳排放权交易市场，组织开展好相关重点排放单位碳排放报告和核查工作，加强数据质量监督管理、配额分配和清缴履约工作</w:t>
            </w:r>
            <w:r>
              <w:rPr>
                <w:rFonts w:hint="eastAsia" w:eastAsia="宋体" w:cs="Times New Roman"/>
                <w:sz w:val="24"/>
                <w:szCs w:val="24"/>
                <w:highlight w:val="none"/>
                <w:lang w:eastAsia="zh-CN"/>
              </w:rPr>
              <w:t>；</w:t>
            </w:r>
            <w:r>
              <w:rPr>
                <w:rFonts w:hint="eastAsia" w:eastAsia="宋体" w:cs="Times New Roman"/>
                <w:sz w:val="24"/>
                <w:szCs w:val="24"/>
                <w:highlight w:val="none"/>
              </w:rPr>
              <w:t>推动节能减排市场化，推广合同能源管理、合同节水管理和节能托管、园区第三方污染治理等综合服务</w:t>
            </w:r>
            <w:r>
              <w:rPr>
                <w:rFonts w:hint="eastAsia" w:eastAsia="宋体" w:cs="Times New Roman"/>
                <w:sz w:val="24"/>
                <w:szCs w:val="24"/>
                <w:highlight w:val="none"/>
                <w:lang w:eastAsia="zh-CN"/>
              </w:rPr>
              <w:t>。</w:t>
            </w:r>
          </w:p>
        </w:tc>
        <w:tc>
          <w:tcPr>
            <w:tcW w:w="654" w:type="pct"/>
            <w:shd w:val="clear" w:color="auto" w:fill="auto"/>
            <w:vAlign w:val="center"/>
          </w:tcPr>
          <w:p w14:paraId="58D8E281">
            <w:pPr>
              <w:keepNext w:val="0"/>
              <w:keepLines/>
              <w:widowControl/>
              <w:suppressLineNumbers w:val="0"/>
              <w:ind w:left="0" w:leftChars="0" w:firstLine="0" w:firstLineChars="0"/>
              <w:jc w:val="center"/>
              <w:textAlignment w:val="center"/>
              <w:rPr>
                <w:rFonts w:hint="eastAsia" w:eastAsia="宋体" w:cs="Times New Roman"/>
                <w:sz w:val="24"/>
                <w:szCs w:val="24"/>
                <w:highlight w:val="none"/>
              </w:rPr>
            </w:pPr>
            <w:r>
              <w:rPr>
                <w:rFonts w:hint="eastAsia" w:eastAsia="宋体" w:cs="Times New Roman"/>
                <w:sz w:val="24"/>
                <w:szCs w:val="24"/>
                <w:highlight w:val="none"/>
                <w:lang w:eastAsia="zh-CN"/>
              </w:rPr>
              <w:t>经济发展局</w:t>
            </w:r>
            <w:r>
              <w:rPr>
                <w:rFonts w:hint="eastAsia" w:eastAsia="宋体" w:cs="Times New Roman"/>
                <w:sz w:val="24"/>
                <w:szCs w:val="24"/>
                <w:highlight w:val="none"/>
              </w:rPr>
              <w:t>、高新区专项工作组</w:t>
            </w:r>
          </w:p>
        </w:tc>
      </w:tr>
    </w:tbl>
    <w:p w14:paraId="5B8E56B1">
      <w:pPr>
        <w:ind w:firstLine="0" w:firstLineChars="0"/>
        <w:rPr>
          <w:rFonts w:hint="eastAsia"/>
          <w:lang w:eastAsia="zh-CN"/>
        </w:rPr>
      </w:pPr>
    </w:p>
    <w:p w14:paraId="1013ECC3">
      <w:pPr>
        <w:ind w:firstLine="640"/>
        <w:rPr>
          <w:rFonts w:hint="eastAsia"/>
          <w:lang w:eastAsia="zh-CN"/>
        </w:rPr>
      </w:pPr>
    </w:p>
    <w:p w14:paraId="64B7C741">
      <w:pPr>
        <w:ind w:firstLine="640"/>
        <w:rPr>
          <w:rFonts w:hint="eastAsia"/>
          <w:lang w:eastAsia="zh-CN"/>
        </w:rPr>
        <w:sectPr>
          <w:pgSz w:w="16838" w:h="11906" w:orient="landscape"/>
          <w:pgMar w:top="1587" w:right="2098" w:bottom="1474" w:left="1985" w:header="1134" w:footer="1134" w:gutter="0"/>
          <w:cols w:space="0" w:num="1"/>
          <w:rtlGutter w:val="0"/>
          <w:docGrid w:type="linesAndChars" w:linePitch="442" w:charSpace="0"/>
        </w:sectPr>
      </w:pPr>
    </w:p>
    <w:p w14:paraId="7F5AC324">
      <w:pPr>
        <w:pStyle w:val="3"/>
        <w:ind w:firstLine="640"/>
      </w:pPr>
      <w:bookmarkStart w:id="230" w:name="_Toc26386"/>
      <w:r>
        <w:rPr>
          <w:rFonts w:hint="eastAsia"/>
          <w:lang w:val="en-US" w:eastAsia="zh-CN"/>
        </w:rPr>
        <w:t>2.改革举措清单</w:t>
      </w:r>
      <w:bookmarkEnd w:id="230"/>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1691"/>
        <w:gridCol w:w="8880"/>
        <w:gridCol w:w="1695"/>
      </w:tblGrid>
      <w:tr w14:paraId="1D67B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trPr>
        <w:tc>
          <w:tcPr>
            <w:tcW w:w="270" w:type="pct"/>
            <w:vAlign w:val="center"/>
          </w:tcPr>
          <w:p w14:paraId="093F9951">
            <w:pPr>
              <w:keepNext w:val="0"/>
              <w:keepLines/>
              <w:widowControl/>
              <w:suppressLineNumbers w:val="0"/>
              <w:ind w:left="0" w:leftChars="0" w:firstLine="0" w:firstLineChars="0"/>
              <w:jc w:val="center"/>
              <w:textAlignment w:val="center"/>
              <w:rPr>
                <w:rFonts w:hint="default" w:eastAsia="宋体" w:cs="Times New Roman"/>
                <w:b/>
                <w:bCs/>
                <w:kern w:val="2"/>
                <w:sz w:val="24"/>
                <w:szCs w:val="24"/>
                <w:highlight w:val="none"/>
                <w:lang w:val="en-US" w:eastAsia="zh-CN" w:bidi="ar-SA"/>
              </w:rPr>
            </w:pPr>
            <w:r>
              <w:rPr>
                <w:rFonts w:hint="eastAsia" w:eastAsia="宋体" w:cs="Times New Roman"/>
                <w:b/>
                <w:bCs/>
                <w:kern w:val="2"/>
                <w:sz w:val="24"/>
                <w:szCs w:val="24"/>
                <w:highlight w:val="none"/>
                <w:lang w:val="en-US" w:eastAsia="zh-CN" w:bidi="ar-SA"/>
              </w:rPr>
              <w:t>序号</w:t>
            </w:r>
          </w:p>
        </w:tc>
        <w:tc>
          <w:tcPr>
            <w:tcW w:w="652" w:type="pct"/>
            <w:vAlign w:val="center"/>
          </w:tcPr>
          <w:p w14:paraId="00830951">
            <w:pPr>
              <w:pStyle w:val="35"/>
              <w:keepNext w:val="0"/>
              <w:keepLines/>
              <w:pageBreakBefore w:val="0"/>
              <w:widowControl/>
              <w:kinsoku/>
              <w:wordWrap/>
              <w:overflowPunct w:val="0"/>
              <w:topLinePunct w:val="0"/>
              <w:autoSpaceDE/>
              <w:autoSpaceDN/>
              <w:bidi w:val="0"/>
              <w:adjustRightInd/>
              <w:snapToGrid w:val="0"/>
              <w:ind w:firstLine="0" w:firstLineChars="0"/>
              <w:jc w:val="center"/>
              <w:textAlignment w:val="auto"/>
              <w:rPr>
                <w:rFonts w:hint="default" w:ascii="Times New Roman" w:hAnsi="Times New Roman" w:eastAsia="宋体" w:cs="Times New Roman"/>
                <w:b/>
                <w:bCs/>
                <w:kern w:val="2"/>
                <w:sz w:val="24"/>
                <w:szCs w:val="24"/>
                <w:highlight w:val="none"/>
                <w:lang w:val="en-US" w:eastAsia="zh-CN" w:bidi="ar-SA"/>
              </w:rPr>
            </w:pPr>
            <w:r>
              <w:rPr>
                <w:rFonts w:hint="eastAsia" w:ascii="Times New Roman" w:hAnsi="Times New Roman" w:cs="Times New Roman"/>
                <w:b/>
                <w:bCs/>
                <w:kern w:val="2"/>
                <w:sz w:val="24"/>
                <w:szCs w:val="24"/>
                <w:highlight w:val="none"/>
                <w:lang w:val="en-US" w:eastAsia="zh-CN" w:bidi="ar-SA"/>
              </w:rPr>
              <w:t>改革举措事项</w:t>
            </w:r>
          </w:p>
        </w:tc>
        <w:tc>
          <w:tcPr>
            <w:tcW w:w="3423" w:type="pct"/>
            <w:shd w:val="clear" w:color="auto" w:fill="auto"/>
            <w:vAlign w:val="center"/>
          </w:tcPr>
          <w:p w14:paraId="49803247">
            <w:pPr>
              <w:keepNext w:val="0"/>
              <w:keepLines/>
              <w:widowControl/>
              <w:suppressLineNumbers w:val="0"/>
              <w:ind w:left="0" w:leftChars="0" w:firstLine="0" w:firstLineChars="0"/>
              <w:jc w:val="center"/>
              <w:textAlignment w:val="center"/>
              <w:rPr>
                <w:rFonts w:hint="default" w:ascii="Times New Roman" w:hAnsi="Times New Roman" w:eastAsia="宋体" w:cs="Times New Roman"/>
                <w:b/>
                <w:bCs/>
                <w:kern w:val="2"/>
                <w:sz w:val="24"/>
                <w:szCs w:val="24"/>
                <w:highlight w:val="none"/>
                <w:lang w:val="en-US" w:eastAsia="zh-CN" w:bidi="ar-SA"/>
              </w:rPr>
            </w:pPr>
            <w:r>
              <w:rPr>
                <w:rFonts w:hint="eastAsia" w:ascii="Times New Roman" w:hAnsi="Times New Roman" w:eastAsia="宋体" w:cs="Times New Roman"/>
                <w:b/>
                <w:bCs/>
                <w:kern w:val="2"/>
                <w:sz w:val="24"/>
                <w:szCs w:val="24"/>
                <w:highlight w:val="none"/>
                <w:lang w:val="en-US" w:eastAsia="zh-CN" w:bidi="ar-SA"/>
              </w:rPr>
              <w:t>主要任务</w:t>
            </w:r>
          </w:p>
        </w:tc>
        <w:tc>
          <w:tcPr>
            <w:tcW w:w="653" w:type="pct"/>
            <w:shd w:val="clear" w:color="auto" w:fill="auto"/>
            <w:vAlign w:val="center"/>
          </w:tcPr>
          <w:p w14:paraId="0DECC395">
            <w:pPr>
              <w:keepNext w:val="0"/>
              <w:keepLines/>
              <w:widowControl/>
              <w:suppressLineNumbers w:val="0"/>
              <w:ind w:left="0" w:leftChars="0" w:firstLine="0" w:firstLineChars="0"/>
              <w:jc w:val="center"/>
              <w:textAlignment w:val="center"/>
              <w:rPr>
                <w:rFonts w:hint="default" w:ascii="Times New Roman" w:hAnsi="Times New Roman" w:eastAsia="宋体" w:cs="Times New Roman"/>
                <w:b/>
                <w:bCs/>
                <w:kern w:val="2"/>
                <w:sz w:val="24"/>
                <w:szCs w:val="24"/>
                <w:highlight w:val="none"/>
                <w:lang w:val="en-US" w:eastAsia="zh-CN" w:bidi="ar-SA"/>
              </w:rPr>
            </w:pPr>
            <w:r>
              <w:rPr>
                <w:rFonts w:hint="eastAsia" w:eastAsia="宋体" w:cs="Times New Roman"/>
                <w:b/>
                <w:bCs/>
                <w:kern w:val="2"/>
                <w:sz w:val="24"/>
                <w:szCs w:val="24"/>
                <w:highlight w:val="none"/>
                <w:lang w:val="en-US" w:eastAsia="zh-CN" w:bidi="ar-SA"/>
              </w:rPr>
              <w:t>责任部门</w:t>
            </w:r>
          </w:p>
        </w:tc>
      </w:tr>
      <w:tr w14:paraId="1D43F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0" w:type="pct"/>
            <w:vAlign w:val="center"/>
          </w:tcPr>
          <w:p w14:paraId="61A978B4">
            <w:pPr>
              <w:keepNext w:val="0"/>
              <w:keepLines/>
              <w:widowControl/>
              <w:numPr>
                <w:ilvl w:val="0"/>
                <w:numId w:val="2"/>
              </w:numPr>
              <w:suppressLineNumbers w:val="0"/>
              <w:tabs>
                <w:tab w:val="clear" w:pos="0"/>
              </w:tabs>
              <w:ind w:left="454" w:leftChars="0" w:hanging="454" w:firstLineChars="0"/>
              <w:jc w:val="center"/>
              <w:textAlignment w:val="center"/>
              <w:rPr>
                <w:rFonts w:hint="default" w:ascii="Times New Roman" w:hAnsi="Times New Roman" w:eastAsia="宋体" w:cs="Times New Roman"/>
                <w:kern w:val="2"/>
                <w:sz w:val="24"/>
                <w:szCs w:val="24"/>
                <w:highlight w:val="none"/>
                <w:lang w:val="en-US" w:eastAsia="zh-CN" w:bidi="ar-SA"/>
              </w:rPr>
            </w:pPr>
          </w:p>
        </w:tc>
        <w:tc>
          <w:tcPr>
            <w:tcW w:w="652" w:type="pct"/>
            <w:vAlign w:val="center"/>
          </w:tcPr>
          <w:p w14:paraId="29C630CA">
            <w:pPr>
              <w:keepNext w:val="0"/>
              <w:keepLines/>
              <w:widowControl/>
              <w:suppressLineNumbers w:val="0"/>
              <w:ind w:left="0" w:leftChars="0" w:firstLine="0" w:firstLineChars="0"/>
              <w:jc w:val="center"/>
              <w:textAlignment w:val="center"/>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sz w:val="24"/>
                <w:szCs w:val="24"/>
                <w:highlight w:val="none"/>
              </w:rPr>
              <w:t>健全绿色低碳科技创新体制机制</w:t>
            </w:r>
          </w:p>
        </w:tc>
        <w:tc>
          <w:tcPr>
            <w:tcW w:w="3423" w:type="pct"/>
            <w:shd w:val="clear" w:color="auto" w:fill="auto"/>
            <w:vAlign w:val="center"/>
          </w:tcPr>
          <w:p w14:paraId="7B4F8FF0">
            <w:pPr>
              <w:keepNext w:val="0"/>
              <w:keepLines/>
              <w:widowControl/>
              <w:suppressLineNumbers w:val="0"/>
              <w:ind w:left="0" w:leftChars="0" w:firstLine="0" w:firstLineChars="0"/>
              <w:jc w:val="both"/>
              <w:textAlignment w:val="center"/>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sz w:val="24"/>
                <w:szCs w:val="24"/>
                <w:highlight w:val="none"/>
              </w:rPr>
              <w:t>完善绿色低碳创新企业培育机制，大力培育绿色低碳领域创新型领军企业、高新技术企业及科技型中小企业，加快建设绿色产业专业孵化器、众创空间</w:t>
            </w: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rPr>
              <w:t>完善绿色技术成果转移转化机制，推进绿色低碳技术交易综合性服务平台建设，提高绿色低碳成果转化效率，构建从技术研发到成果转化、产业化应用的完整链条</w:t>
            </w:r>
            <w:r>
              <w:rPr>
                <w:rFonts w:hint="eastAsia" w:ascii="Times New Roman" w:hAnsi="Times New Roman" w:eastAsia="宋体" w:cs="Times New Roman"/>
                <w:sz w:val="24"/>
                <w:szCs w:val="24"/>
                <w:highlight w:val="none"/>
                <w:lang w:eastAsia="zh-CN"/>
              </w:rPr>
              <w:t>。</w:t>
            </w:r>
          </w:p>
        </w:tc>
        <w:tc>
          <w:tcPr>
            <w:tcW w:w="653" w:type="pct"/>
            <w:shd w:val="clear" w:color="auto" w:fill="auto"/>
            <w:vAlign w:val="center"/>
          </w:tcPr>
          <w:p w14:paraId="747004F3">
            <w:pPr>
              <w:keepNext w:val="0"/>
              <w:keepLines/>
              <w:widowControl/>
              <w:suppressLineNumbers w:val="0"/>
              <w:ind w:left="0" w:leftChars="0" w:firstLine="0" w:firstLineChars="0"/>
              <w:jc w:val="center"/>
              <w:textAlignment w:val="center"/>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sz w:val="24"/>
                <w:szCs w:val="24"/>
                <w:highlight w:val="none"/>
              </w:rPr>
              <w:t>高新区专项工作组、</w:t>
            </w:r>
            <w:r>
              <w:rPr>
                <w:rFonts w:hint="eastAsia" w:eastAsia="宋体" w:cs="Times New Roman"/>
                <w:sz w:val="24"/>
                <w:szCs w:val="24"/>
                <w:highlight w:val="none"/>
                <w:lang w:eastAsia="zh-CN"/>
              </w:rPr>
              <w:t>经济发展局</w:t>
            </w:r>
            <w:r>
              <w:rPr>
                <w:rFonts w:hint="eastAsia" w:ascii="Times New Roman" w:hAnsi="Times New Roman" w:eastAsia="宋体" w:cs="Times New Roman"/>
                <w:sz w:val="24"/>
                <w:szCs w:val="24"/>
                <w:highlight w:val="none"/>
              </w:rPr>
              <w:t>、</w:t>
            </w:r>
            <w:r>
              <w:rPr>
                <w:rFonts w:hint="eastAsia" w:eastAsia="宋体" w:cs="Times New Roman"/>
                <w:sz w:val="24"/>
                <w:szCs w:val="24"/>
                <w:highlight w:val="none"/>
                <w:lang w:eastAsia="zh-CN"/>
              </w:rPr>
              <w:t>投资促进局</w:t>
            </w:r>
          </w:p>
        </w:tc>
      </w:tr>
      <w:tr w14:paraId="40F21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0" w:type="pct"/>
            <w:vAlign w:val="center"/>
          </w:tcPr>
          <w:p w14:paraId="16B41BBE">
            <w:pPr>
              <w:keepNext w:val="0"/>
              <w:keepLines/>
              <w:widowControl/>
              <w:numPr>
                <w:ilvl w:val="0"/>
                <w:numId w:val="2"/>
              </w:numPr>
              <w:suppressLineNumbers w:val="0"/>
              <w:tabs>
                <w:tab w:val="clear" w:pos="0"/>
              </w:tabs>
              <w:ind w:left="454" w:leftChars="0" w:hanging="454" w:firstLineChars="0"/>
              <w:jc w:val="center"/>
              <w:textAlignment w:val="center"/>
              <w:rPr>
                <w:rFonts w:hint="default" w:ascii="Times New Roman" w:hAnsi="Times New Roman" w:eastAsia="宋体" w:cs="Times New Roman"/>
                <w:kern w:val="2"/>
                <w:sz w:val="24"/>
                <w:szCs w:val="24"/>
                <w:highlight w:val="none"/>
                <w:lang w:val="en-US" w:eastAsia="zh-CN" w:bidi="ar-SA"/>
              </w:rPr>
            </w:pPr>
          </w:p>
        </w:tc>
        <w:tc>
          <w:tcPr>
            <w:tcW w:w="652" w:type="pct"/>
            <w:vAlign w:val="center"/>
          </w:tcPr>
          <w:p w14:paraId="737664BE">
            <w:pPr>
              <w:keepNext w:val="0"/>
              <w:keepLines/>
              <w:widowControl/>
              <w:suppressLineNumbers w:val="0"/>
              <w:ind w:left="0" w:leftChars="0" w:firstLine="0" w:firstLineChars="0"/>
              <w:jc w:val="center"/>
              <w:textAlignment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推进绿色科技创新平台建设</w:t>
            </w:r>
          </w:p>
        </w:tc>
        <w:tc>
          <w:tcPr>
            <w:tcW w:w="3423" w:type="pct"/>
            <w:shd w:val="clear" w:color="auto" w:fill="auto"/>
            <w:vAlign w:val="center"/>
          </w:tcPr>
          <w:p w14:paraId="36D2D7DE">
            <w:pPr>
              <w:keepNext w:val="0"/>
              <w:keepLines/>
              <w:widowControl/>
              <w:suppressLineNumbers w:val="0"/>
              <w:ind w:left="0" w:leftChars="0" w:firstLine="0" w:firstLineChars="0"/>
              <w:jc w:val="both"/>
              <w:textAlignment w:val="center"/>
              <w:rPr>
                <w:rFonts w:hint="eastAsia" w:eastAsia="宋体" w:cs="Times New Roman"/>
                <w:sz w:val="24"/>
                <w:szCs w:val="24"/>
                <w:highlight w:val="none"/>
                <w:lang w:eastAsia="zh-CN"/>
              </w:rPr>
            </w:pPr>
            <w:r>
              <w:rPr>
                <w:rFonts w:hint="eastAsia" w:eastAsia="宋体" w:cs="Times New Roman"/>
                <w:sz w:val="24"/>
                <w:szCs w:val="24"/>
                <w:highlight w:val="none"/>
              </w:rPr>
              <w:t>针对企业重点领域科技攻关，联合石河子大学和区内外研发机构开展课题研究，建立集聚产业创新资源、政府和生产企业供需一体的科技成果转移转化平台</w:t>
            </w:r>
            <w:r>
              <w:rPr>
                <w:rFonts w:hint="eastAsia" w:eastAsia="宋体" w:cs="Times New Roman"/>
                <w:sz w:val="24"/>
                <w:szCs w:val="24"/>
                <w:highlight w:val="none"/>
                <w:lang w:eastAsia="zh-CN"/>
              </w:rPr>
              <w:t>；</w:t>
            </w:r>
            <w:r>
              <w:rPr>
                <w:rFonts w:hint="eastAsia" w:eastAsia="宋体" w:cs="Times New Roman"/>
                <w:sz w:val="24"/>
                <w:szCs w:val="24"/>
                <w:highlight w:val="none"/>
              </w:rPr>
              <w:t>支持骨干企业、高新技术企业建立重点实验室、工程研究中心、企业技术中心等研发机构，建设好天业—大连化物所等新材料技术转移中心、天业节水数字农业重点实验室、兵团光伏硅材料工程技术研究中心、兵团铝冶炼工程技术研究中心等创新节点机构</w:t>
            </w:r>
            <w:r>
              <w:rPr>
                <w:rFonts w:hint="eastAsia" w:eastAsia="宋体" w:cs="Times New Roman"/>
                <w:sz w:val="24"/>
                <w:szCs w:val="24"/>
                <w:highlight w:val="none"/>
                <w:lang w:eastAsia="zh-CN"/>
              </w:rPr>
              <w:t>。</w:t>
            </w:r>
          </w:p>
        </w:tc>
        <w:tc>
          <w:tcPr>
            <w:tcW w:w="653" w:type="pct"/>
            <w:shd w:val="clear" w:color="auto" w:fill="auto"/>
            <w:vAlign w:val="center"/>
          </w:tcPr>
          <w:p w14:paraId="12CA79CB">
            <w:pPr>
              <w:keepNext w:val="0"/>
              <w:keepLines/>
              <w:widowControl/>
              <w:suppressLineNumbers w:val="0"/>
              <w:ind w:left="0" w:leftChars="0" w:firstLine="0" w:firstLineChars="0"/>
              <w:jc w:val="center"/>
              <w:textAlignment w:val="center"/>
              <w:rPr>
                <w:rFonts w:hint="eastAsia"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rPr>
              <w:t>高新区专项工作组、</w:t>
            </w:r>
            <w:r>
              <w:rPr>
                <w:rFonts w:hint="eastAsia" w:eastAsia="宋体" w:cs="Times New Roman"/>
                <w:sz w:val="24"/>
                <w:szCs w:val="24"/>
                <w:highlight w:val="none"/>
                <w:lang w:eastAsia="zh-CN"/>
              </w:rPr>
              <w:t>经济发展局</w:t>
            </w:r>
            <w:r>
              <w:rPr>
                <w:rFonts w:hint="eastAsia" w:ascii="Times New Roman" w:hAnsi="Times New Roman" w:eastAsia="宋体" w:cs="Times New Roman"/>
                <w:sz w:val="24"/>
                <w:szCs w:val="24"/>
                <w:highlight w:val="none"/>
              </w:rPr>
              <w:t>、</w:t>
            </w:r>
            <w:r>
              <w:rPr>
                <w:rFonts w:hint="eastAsia" w:eastAsia="宋体" w:cs="Times New Roman"/>
                <w:sz w:val="24"/>
                <w:szCs w:val="24"/>
                <w:highlight w:val="none"/>
                <w:lang w:eastAsia="zh-CN"/>
              </w:rPr>
              <w:t>投资促进局</w:t>
            </w:r>
          </w:p>
        </w:tc>
      </w:tr>
      <w:tr w14:paraId="636F5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0" w:type="pct"/>
            <w:vAlign w:val="center"/>
          </w:tcPr>
          <w:p w14:paraId="7F94F633">
            <w:pPr>
              <w:keepNext w:val="0"/>
              <w:keepLines/>
              <w:widowControl/>
              <w:numPr>
                <w:ilvl w:val="0"/>
                <w:numId w:val="2"/>
              </w:numPr>
              <w:suppressLineNumbers w:val="0"/>
              <w:tabs>
                <w:tab w:val="clear" w:pos="0"/>
              </w:tabs>
              <w:ind w:left="454" w:leftChars="0" w:hanging="454" w:firstLineChars="0"/>
              <w:jc w:val="center"/>
              <w:textAlignment w:val="center"/>
              <w:rPr>
                <w:rFonts w:hint="default" w:ascii="Times New Roman" w:hAnsi="Times New Roman" w:eastAsia="宋体" w:cs="Times New Roman"/>
                <w:kern w:val="2"/>
                <w:sz w:val="24"/>
                <w:szCs w:val="24"/>
                <w:highlight w:val="none"/>
                <w:lang w:val="en-US" w:eastAsia="zh-CN" w:bidi="ar-SA"/>
              </w:rPr>
            </w:pPr>
          </w:p>
        </w:tc>
        <w:tc>
          <w:tcPr>
            <w:tcW w:w="652" w:type="pct"/>
            <w:vAlign w:val="center"/>
          </w:tcPr>
          <w:p w14:paraId="1B2EAEB3">
            <w:pPr>
              <w:keepNext w:val="0"/>
              <w:keepLines/>
              <w:widowControl/>
              <w:suppressLineNumbers w:val="0"/>
              <w:ind w:left="0" w:leftChars="0" w:firstLine="0" w:firstLineChars="0"/>
              <w:jc w:val="center"/>
              <w:textAlignment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推动绿色产学研深度融合</w:t>
            </w:r>
          </w:p>
        </w:tc>
        <w:tc>
          <w:tcPr>
            <w:tcW w:w="3423" w:type="pct"/>
            <w:shd w:val="clear" w:color="auto" w:fill="auto"/>
            <w:vAlign w:val="center"/>
          </w:tcPr>
          <w:p w14:paraId="69C5A6C3">
            <w:pPr>
              <w:keepNext w:val="0"/>
              <w:keepLines/>
              <w:widowControl/>
              <w:suppressLineNumbers w:val="0"/>
              <w:ind w:left="0" w:leftChars="0" w:firstLine="0" w:firstLineChars="0"/>
              <w:jc w:val="both"/>
              <w:textAlignment w:val="center"/>
              <w:rPr>
                <w:rFonts w:hint="eastAsia" w:eastAsia="宋体" w:cs="Times New Roman"/>
                <w:sz w:val="24"/>
                <w:szCs w:val="24"/>
                <w:highlight w:val="none"/>
                <w:lang w:eastAsia="zh-CN"/>
              </w:rPr>
            </w:pPr>
            <w:r>
              <w:rPr>
                <w:rFonts w:hint="eastAsia" w:eastAsia="宋体" w:cs="Times New Roman"/>
                <w:sz w:val="24"/>
                <w:szCs w:val="24"/>
                <w:highlight w:val="none"/>
              </w:rPr>
              <w:t>深化产教融合，鼓励校企联合开展产学合作协同育人项目，以企业绿色低碳发展用工需求为核心，推进成立名校名企联合实验室，定向培养绿色人才和战略性新兴产业紧缺型人才</w:t>
            </w:r>
            <w:r>
              <w:rPr>
                <w:rFonts w:hint="eastAsia" w:eastAsia="宋体" w:cs="Times New Roman"/>
                <w:sz w:val="24"/>
                <w:szCs w:val="24"/>
                <w:highlight w:val="none"/>
                <w:lang w:eastAsia="zh-CN"/>
              </w:rPr>
              <w:t>。</w:t>
            </w:r>
          </w:p>
        </w:tc>
        <w:tc>
          <w:tcPr>
            <w:tcW w:w="653" w:type="pct"/>
            <w:shd w:val="clear" w:color="auto" w:fill="auto"/>
            <w:vAlign w:val="center"/>
          </w:tcPr>
          <w:p w14:paraId="1F75430F">
            <w:pPr>
              <w:keepNext w:val="0"/>
              <w:keepLines/>
              <w:widowControl/>
              <w:suppressLineNumbers w:val="0"/>
              <w:ind w:left="0" w:leftChars="0" w:firstLine="0" w:firstLineChars="0"/>
              <w:jc w:val="center"/>
              <w:textAlignment w:val="center"/>
              <w:rPr>
                <w:rFonts w:hint="eastAsia"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rPr>
              <w:t>高新区专项工作组、</w:t>
            </w:r>
            <w:r>
              <w:rPr>
                <w:rFonts w:hint="eastAsia" w:eastAsia="宋体" w:cs="Times New Roman"/>
                <w:sz w:val="24"/>
                <w:szCs w:val="24"/>
                <w:highlight w:val="none"/>
                <w:lang w:eastAsia="zh-CN"/>
              </w:rPr>
              <w:t>经济发展局</w:t>
            </w:r>
          </w:p>
        </w:tc>
      </w:tr>
      <w:tr w14:paraId="7FBAD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0" w:type="pct"/>
            <w:vAlign w:val="center"/>
          </w:tcPr>
          <w:p w14:paraId="177887BD">
            <w:pPr>
              <w:keepNext w:val="0"/>
              <w:keepLines/>
              <w:widowControl/>
              <w:numPr>
                <w:ilvl w:val="0"/>
                <w:numId w:val="2"/>
              </w:numPr>
              <w:suppressLineNumbers w:val="0"/>
              <w:tabs>
                <w:tab w:val="clear" w:pos="0"/>
              </w:tabs>
              <w:ind w:left="454" w:leftChars="0" w:hanging="454" w:firstLineChars="0"/>
              <w:jc w:val="center"/>
              <w:textAlignment w:val="center"/>
              <w:rPr>
                <w:rFonts w:hint="default" w:ascii="Times New Roman" w:hAnsi="Times New Roman" w:eastAsia="宋体" w:cs="Times New Roman"/>
                <w:kern w:val="2"/>
                <w:sz w:val="24"/>
                <w:szCs w:val="24"/>
                <w:highlight w:val="none"/>
                <w:lang w:val="en-US" w:eastAsia="zh-CN" w:bidi="ar-SA"/>
              </w:rPr>
            </w:pPr>
          </w:p>
        </w:tc>
        <w:tc>
          <w:tcPr>
            <w:tcW w:w="652" w:type="pct"/>
            <w:vAlign w:val="center"/>
          </w:tcPr>
          <w:p w14:paraId="2F069907">
            <w:pPr>
              <w:keepNext w:val="0"/>
              <w:keepLines/>
              <w:widowControl/>
              <w:suppressLineNumbers w:val="0"/>
              <w:ind w:left="0" w:leftChars="0" w:firstLine="0" w:firstLineChars="0"/>
              <w:jc w:val="center"/>
              <w:textAlignment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加快先进适用技术研发和推广应用</w:t>
            </w:r>
          </w:p>
        </w:tc>
        <w:tc>
          <w:tcPr>
            <w:tcW w:w="3423" w:type="pct"/>
            <w:shd w:val="clear" w:color="auto" w:fill="auto"/>
            <w:vAlign w:val="center"/>
          </w:tcPr>
          <w:p w14:paraId="667071A8">
            <w:pPr>
              <w:keepNext w:val="0"/>
              <w:keepLines/>
              <w:widowControl/>
              <w:suppressLineNumbers w:val="0"/>
              <w:ind w:left="0" w:leftChars="0" w:firstLine="0" w:firstLineChars="0"/>
              <w:jc w:val="both"/>
              <w:textAlignment w:val="center"/>
              <w:rPr>
                <w:rFonts w:hint="eastAsia" w:eastAsia="宋体" w:cs="Times New Roman"/>
                <w:sz w:val="24"/>
                <w:szCs w:val="24"/>
                <w:highlight w:val="none"/>
                <w:lang w:eastAsia="zh-CN"/>
              </w:rPr>
            </w:pPr>
            <w:r>
              <w:rPr>
                <w:rFonts w:hint="eastAsia" w:eastAsia="宋体" w:cs="Times New Roman"/>
                <w:sz w:val="24"/>
                <w:szCs w:val="24"/>
                <w:highlight w:val="none"/>
              </w:rPr>
              <w:t>推进新型电力储能技术、多元耦合智慧互联柔性电网等零碳电力技术升级和氢能“制－储－输－用”全链条技术、生物质高附加值再造技术等零碳非电全链条技术创新研发，重点突破可再生能源、储能、氢能、新材料、碳捕集利用与封存等领域关键技术，推广应用二氧化碳加氢制甲醇等化工利用技术</w:t>
            </w:r>
            <w:r>
              <w:rPr>
                <w:rFonts w:hint="eastAsia" w:eastAsia="宋体" w:cs="Times New Roman"/>
                <w:sz w:val="24"/>
                <w:szCs w:val="24"/>
                <w:highlight w:val="none"/>
                <w:lang w:eastAsia="zh-CN"/>
              </w:rPr>
              <w:t>。</w:t>
            </w:r>
          </w:p>
        </w:tc>
        <w:tc>
          <w:tcPr>
            <w:tcW w:w="653" w:type="pct"/>
            <w:shd w:val="clear" w:color="auto" w:fill="auto"/>
            <w:vAlign w:val="center"/>
          </w:tcPr>
          <w:p w14:paraId="2A8CE35B">
            <w:pPr>
              <w:keepNext w:val="0"/>
              <w:keepLines/>
              <w:widowControl/>
              <w:suppressLineNumbers w:val="0"/>
              <w:ind w:left="0" w:leftChars="0" w:firstLine="0" w:firstLineChars="0"/>
              <w:jc w:val="center"/>
              <w:textAlignment w:val="center"/>
              <w:rPr>
                <w:rFonts w:hint="eastAsia"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rPr>
              <w:t>高新区专项工作组、</w:t>
            </w:r>
            <w:r>
              <w:rPr>
                <w:rFonts w:hint="eastAsia" w:eastAsia="宋体" w:cs="Times New Roman"/>
                <w:sz w:val="24"/>
                <w:szCs w:val="24"/>
                <w:highlight w:val="none"/>
                <w:lang w:eastAsia="zh-CN"/>
              </w:rPr>
              <w:t>经济发展局</w:t>
            </w:r>
            <w:r>
              <w:rPr>
                <w:rFonts w:hint="eastAsia" w:ascii="Times New Roman" w:hAnsi="Times New Roman" w:eastAsia="宋体" w:cs="Times New Roman"/>
                <w:sz w:val="24"/>
                <w:szCs w:val="24"/>
                <w:highlight w:val="none"/>
              </w:rPr>
              <w:t>、</w:t>
            </w:r>
            <w:r>
              <w:rPr>
                <w:rFonts w:hint="eastAsia" w:eastAsia="宋体" w:cs="Times New Roman"/>
                <w:sz w:val="24"/>
                <w:szCs w:val="24"/>
                <w:highlight w:val="none"/>
                <w:lang w:eastAsia="zh-CN"/>
              </w:rPr>
              <w:t>投资促进局</w:t>
            </w:r>
          </w:p>
        </w:tc>
      </w:tr>
      <w:tr w14:paraId="06952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0" w:type="pct"/>
            <w:vAlign w:val="center"/>
          </w:tcPr>
          <w:p w14:paraId="55A45A01">
            <w:pPr>
              <w:keepNext w:val="0"/>
              <w:keepLines/>
              <w:widowControl/>
              <w:numPr>
                <w:ilvl w:val="0"/>
                <w:numId w:val="2"/>
              </w:numPr>
              <w:suppressLineNumbers w:val="0"/>
              <w:tabs>
                <w:tab w:val="clear" w:pos="0"/>
              </w:tabs>
              <w:ind w:left="454" w:leftChars="0" w:hanging="454" w:firstLineChars="0"/>
              <w:jc w:val="center"/>
              <w:textAlignment w:val="center"/>
              <w:rPr>
                <w:rFonts w:hint="default" w:ascii="Times New Roman" w:hAnsi="Times New Roman" w:eastAsia="宋体" w:cs="Times New Roman"/>
                <w:kern w:val="2"/>
                <w:sz w:val="24"/>
                <w:szCs w:val="24"/>
                <w:highlight w:val="none"/>
                <w:lang w:val="en-US" w:eastAsia="zh-CN" w:bidi="ar-SA"/>
              </w:rPr>
            </w:pPr>
          </w:p>
        </w:tc>
        <w:tc>
          <w:tcPr>
            <w:tcW w:w="652" w:type="pct"/>
            <w:vAlign w:val="center"/>
          </w:tcPr>
          <w:p w14:paraId="7FDFBDE4">
            <w:pPr>
              <w:keepNext w:val="0"/>
              <w:keepLines/>
              <w:widowControl/>
              <w:suppressLineNumbers w:val="0"/>
              <w:ind w:left="0" w:leftChars="0" w:firstLine="0" w:firstLineChars="0"/>
              <w:jc w:val="center"/>
              <w:textAlignment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完善绿色招商政策</w:t>
            </w:r>
          </w:p>
        </w:tc>
        <w:tc>
          <w:tcPr>
            <w:tcW w:w="3423" w:type="pct"/>
            <w:shd w:val="clear" w:color="auto" w:fill="auto"/>
            <w:vAlign w:val="center"/>
          </w:tcPr>
          <w:p w14:paraId="423C81E4">
            <w:pPr>
              <w:keepNext w:val="0"/>
              <w:keepLines/>
              <w:widowControl/>
              <w:suppressLineNumbers w:val="0"/>
              <w:ind w:left="0" w:leftChars="0" w:firstLine="0" w:firstLineChars="0"/>
              <w:jc w:val="both"/>
              <w:textAlignment w:val="center"/>
              <w:rPr>
                <w:rFonts w:hint="eastAsia" w:eastAsia="宋体" w:cs="Times New Roman"/>
                <w:sz w:val="24"/>
                <w:szCs w:val="24"/>
                <w:highlight w:val="none"/>
                <w:lang w:eastAsia="zh-CN"/>
              </w:rPr>
            </w:pPr>
            <w:r>
              <w:rPr>
                <w:rFonts w:hint="eastAsia" w:eastAsia="宋体" w:cs="Times New Roman"/>
                <w:sz w:val="24"/>
                <w:szCs w:val="24"/>
                <w:highlight w:val="none"/>
              </w:rPr>
              <w:t>大力推进“引凤行动”，举办经开区主导产业全球合作伙伴大会，全力扩大招商引资“朋友圈”</w:t>
            </w:r>
            <w:r>
              <w:rPr>
                <w:rFonts w:hint="eastAsia" w:eastAsia="宋体" w:cs="Times New Roman"/>
                <w:sz w:val="24"/>
                <w:szCs w:val="24"/>
                <w:highlight w:val="none"/>
                <w:lang w:eastAsia="zh-CN"/>
              </w:rPr>
              <w:t>；</w:t>
            </w:r>
            <w:r>
              <w:rPr>
                <w:rFonts w:hint="eastAsia" w:eastAsia="宋体" w:cs="Times New Roman"/>
                <w:sz w:val="24"/>
                <w:szCs w:val="24"/>
                <w:highlight w:val="none"/>
              </w:rPr>
              <w:t>坚持国际化视野、发挥比较优势，瞄准全国头部企业，通过抓重点、抓龙头、抓优势，引入新技术、新管理、新模式</w:t>
            </w:r>
            <w:r>
              <w:rPr>
                <w:rFonts w:hint="eastAsia" w:eastAsia="宋体" w:cs="Times New Roman"/>
                <w:sz w:val="24"/>
                <w:szCs w:val="24"/>
                <w:highlight w:val="none"/>
                <w:lang w:eastAsia="zh-CN"/>
              </w:rPr>
              <w:t>。</w:t>
            </w:r>
          </w:p>
        </w:tc>
        <w:tc>
          <w:tcPr>
            <w:tcW w:w="653" w:type="pct"/>
            <w:shd w:val="clear" w:color="auto" w:fill="auto"/>
            <w:vAlign w:val="center"/>
          </w:tcPr>
          <w:p w14:paraId="1102B312">
            <w:pPr>
              <w:keepNext w:val="0"/>
              <w:keepLines/>
              <w:widowControl/>
              <w:suppressLineNumbers w:val="0"/>
              <w:ind w:left="0" w:leftChars="0" w:firstLine="0" w:firstLineChars="0"/>
              <w:jc w:val="center"/>
              <w:textAlignment w:val="center"/>
              <w:rPr>
                <w:rFonts w:hint="eastAsia" w:ascii="Times New Roman" w:hAnsi="Times New Roman" w:eastAsia="宋体" w:cs="Times New Roman"/>
                <w:sz w:val="24"/>
                <w:szCs w:val="24"/>
                <w:highlight w:val="none"/>
              </w:rPr>
            </w:pPr>
            <w:r>
              <w:rPr>
                <w:rFonts w:hint="eastAsia" w:eastAsia="宋体" w:cs="Times New Roman"/>
                <w:sz w:val="24"/>
                <w:szCs w:val="24"/>
                <w:highlight w:val="none"/>
                <w:lang w:eastAsia="zh-CN"/>
              </w:rPr>
              <w:t>经济发展局</w:t>
            </w:r>
            <w:r>
              <w:rPr>
                <w:rFonts w:hint="eastAsia" w:ascii="Times New Roman" w:hAnsi="Times New Roman" w:eastAsia="宋体" w:cs="Times New Roman"/>
                <w:sz w:val="24"/>
                <w:szCs w:val="24"/>
                <w:highlight w:val="none"/>
              </w:rPr>
              <w:t>、</w:t>
            </w:r>
            <w:r>
              <w:rPr>
                <w:rFonts w:hint="eastAsia" w:eastAsia="宋体" w:cs="Times New Roman"/>
                <w:sz w:val="24"/>
                <w:szCs w:val="24"/>
                <w:highlight w:val="none"/>
                <w:lang w:eastAsia="zh-CN"/>
              </w:rPr>
              <w:t>投资促进局</w:t>
            </w:r>
            <w:r>
              <w:rPr>
                <w:rFonts w:hint="eastAsia" w:ascii="Times New Roman" w:hAnsi="Times New Roman" w:eastAsia="宋体" w:cs="Times New Roman"/>
                <w:sz w:val="24"/>
                <w:szCs w:val="24"/>
                <w:highlight w:val="none"/>
              </w:rPr>
              <w:t>、</w:t>
            </w:r>
            <w:r>
              <w:rPr>
                <w:rFonts w:hint="eastAsia" w:eastAsia="宋体" w:cs="Times New Roman"/>
                <w:sz w:val="24"/>
                <w:szCs w:val="24"/>
                <w:highlight w:val="none"/>
                <w:lang w:eastAsia="zh-CN"/>
              </w:rPr>
              <w:t>财政局</w:t>
            </w:r>
            <w:r>
              <w:rPr>
                <w:rFonts w:hint="eastAsia" w:ascii="Times New Roman" w:hAnsi="Times New Roman" w:eastAsia="宋体" w:cs="Times New Roman"/>
                <w:sz w:val="24"/>
                <w:szCs w:val="24"/>
                <w:highlight w:val="none"/>
              </w:rPr>
              <w:t>、高新区专项工作组</w:t>
            </w:r>
          </w:p>
        </w:tc>
      </w:tr>
      <w:tr w14:paraId="14D66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0" w:type="pct"/>
            <w:vAlign w:val="center"/>
          </w:tcPr>
          <w:p w14:paraId="5C559B30">
            <w:pPr>
              <w:keepNext w:val="0"/>
              <w:keepLines/>
              <w:widowControl/>
              <w:numPr>
                <w:ilvl w:val="0"/>
                <w:numId w:val="2"/>
              </w:numPr>
              <w:suppressLineNumbers w:val="0"/>
              <w:tabs>
                <w:tab w:val="clear" w:pos="0"/>
              </w:tabs>
              <w:ind w:left="454" w:leftChars="0" w:hanging="454" w:firstLineChars="0"/>
              <w:jc w:val="center"/>
              <w:textAlignment w:val="center"/>
              <w:rPr>
                <w:rFonts w:hint="default" w:ascii="Times New Roman" w:hAnsi="Times New Roman" w:eastAsia="宋体" w:cs="Times New Roman"/>
                <w:kern w:val="2"/>
                <w:sz w:val="24"/>
                <w:szCs w:val="24"/>
                <w:highlight w:val="none"/>
                <w:lang w:val="en-US" w:eastAsia="zh-CN" w:bidi="ar-SA"/>
              </w:rPr>
            </w:pPr>
          </w:p>
        </w:tc>
        <w:tc>
          <w:tcPr>
            <w:tcW w:w="652" w:type="pct"/>
            <w:vAlign w:val="center"/>
          </w:tcPr>
          <w:p w14:paraId="026BBA1E">
            <w:pPr>
              <w:keepNext w:val="0"/>
              <w:keepLines/>
              <w:widowControl/>
              <w:suppressLineNumbers w:val="0"/>
              <w:ind w:left="0" w:leftChars="0" w:firstLine="0" w:firstLineChars="0"/>
              <w:jc w:val="center"/>
              <w:textAlignment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优化绿色低碳产业发展政策</w:t>
            </w:r>
          </w:p>
        </w:tc>
        <w:tc>
          <w:tcPr>
            <w:tcW w:w="3423" w:type="pct"/>
            <w:shd w:val="clear" w:color="auto" w:fill="auto"/>
            <w:vAlign w:val="center"/>
          </w:tcPr>
          <w:p w14:paraId="06D0E2F3">
            <w:pPr>
              <w:keepNext w:val="0"/>
              <w:keepLines/>
              <w:widowControl/>
              <w:suppressLineNumbers w:val="0"/>
              <w:ind w:left="0" w:leftChars="0" w:firstLine="0" w:firstLineChars="0"/>
              <w:jc w:val="both"/>
              <w:textAlignment w:val="center"/>
              <w:rPr>
                <w:rFonts w:hint="eastAsia" w:eastAsia="宋体" w:cs="Times New Roman"/>
                <w:sz w:val="24"/>
                <w:szCs w:val="24"/>
                <w:highlight w:val="none"/>
                <w:lang w:eastAsia="zh-CN"/>
              </w:rPr>
            </w:pPr>
            <w:r>
              <w:rPr>
                <w:rFonts w:hint="eastAsia" w:eastAsia="宋体" w:cs="Times New Roman"/>
                <w:sz w:val="24"/>
                <w:szCs w:val="24"/>
                <w:highlight w:val="none"/>
              </w:rPr>
              <w:t>聚焦新能源等绿色低碳产业，制定园区绿色低碳产业发展模式，细化工作重点和政策措施，部署重大工程、重大计划、重大行动，推动绿色低碳产业高质量发展。推动绿色低碳产业上下游企业建立紧密协调发展机制，合作建设具有增强产业链黏合度、经济效益明显的科技或工业项目，持续完善绿色低碳产业发展生态</w:t>
            </w:r>
            <w:r>
              <w:rPr>
                <w:rFonts w:hint="eastAsia" w:eastAsia="宋体" w:cs="Times New Roman"/>
                <w:sz w:val="24"/>
                <w:szCs w:val="24"/>
                <w:highlight w:val="none"/>
                <w:lang w:eastAsia="zh-CN"/>
              </w:rPr>
              <w:t>。</w:t>
            </w:r>
          </w:p>
        </w:tc>
        <w:tc>
          <w:tcPr>
            <w:tcW w:w="653" w:type="pct"/>
            <w:shd w:val="clear" w:color="auto" w:fill="auto"/>
            <w:vAlign w:val="center"/>
          </w:tcPr>
          <w:p w14:paraId="4C1075CA">
            <w:pPr>
              <w:keepNext w:val="0"/>
              <w:keepLines/>
              <w:widowControl/>
              <w:suppressLineNumbers w:val="0"/>
              <w:ind w:left="0" w:leftChars="0" w:firstLine="0" w:firstLineChars="0"/>
              <w:jc w:val="center"/>
              <w:textAlignment w:val="center"/>
              <w:rPr>
                <w:rFonts w:hint="eastAsia" w:ascii="Times New Roman" w:hAnsi="Times New Roman" w:eastAsia="宋体" w:cs="Times New Roman"/>
                <w:sz w:val="24"/>
                <w:szCs w:val="24"/>
                <w:highlight w:val="none"/>
              </w:rPr>
            </w:pPr>
            <w:r>
              <w:rPr>
                <w:rFonts w:hint="eastAsia" w:eastAsia="宋体" w:cs="Times New Roman"/>
                <w:sz w:val="24"/>
                <w:szCs w:val="24"/>
                <w:highlight w:val="none"/>
                <w:lang w:eastAsia="zh-CN"/>
              </w:rPr>
              <w:t>经济发展局</w:t>
            </w:r>
            <w:r>
              <w:rPr>
                <w:rFonts w:hint="eastAsia" w:ascii="Times New Roman" w:hAnsi="Times New Roman" w:eastAsia="宋体" w:cs="Times New Roman"/>
                <w:sz w:val="24"/>
                <w:szCs w:val="24"/>
                <w:highlight w:val="none"/>
              </w:rPr>
              <w:t>、</w:t>
            </w:r>
            <w:r>
              <w:rPr>
                <w:rFonts w:hint="eastAsia" w:eastAsia="宋体" w:cs="Times New Roman"/>
                <w:sz w:val="24"/>
                <w:szCs w:val="24"/>
                <w:highlight w:val="none"/>
                <w:lang w:eastAsia="zh-CN"/>
              </w:rPr>
              <w:t>投资促进局</w:t>
            </w:r>
            <w:r>
              <w:rPr>
                <w:rFonts w:hint="eastAsia" w:ascii="Times New Roman" w:hAnsi="Times New Roman" w:eastAsia="宋体" w:cs="Times New Roman"/>
                <w:sz w:val="24"/>
                <w:szCs w:val="24"/>
                <w:highlight w:val="none"/>
              </w:rPr>
              <w:t>、</w:t>
            </w:r>
            <w:r>
              <w:rPr>
                <w:rFonts w:hint="eastAsia" w:eastAsia="宋体" w:cs="Times New Roman"/>
                <w:sz w:val="24"/>
                <w:szCs w:val="24"/>
                <w:highlight w:val="none"/>
                <w:lang w:eastAsia="zh-CN"/>
              </w:rPr>
              <w:t>财政局</w:t>
            </w:r>
            <w:r>
              <w:rPr>
                <w:rFonts w:hint="eastAsia" w:ascii="Times New Roman" w:hAnsi="Times New Roman" w:eastAsia="宋体" w:cs="Times New Roman"/>
                <w:sz w:val="24"/>
                <w:szCs w:val="24"/>
                <w:highlight w:val="none"/>
              </w:rPr>
              <w:t>、高新区专项工作组</w:t>
            </w:r>
          </w:p>
        </w:tc>
      </w:tr>
      <w:tr w14:paraId="7287F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0" w:type="pct"/>
            <w:vAlign w:val="center"/>
          </w:tcPr>
          <w:p w14:paraId="4170C0BE">
            <w:pPr>
              <w:keepNext w:val="0"/>
              <w:keepLines/>
              <w:widowControl/>
              <w:numPr>
                <w:ilvl w:val="0"/>
                <w:numId w:val="2"/>
              </w:numPr>
              <w:suppressLineNumbers w:val="0"/>
              <w:tabs>
                <w:tab w:val="clear" w:pos="0"/>
              </w:tabs>
              <w:ind w:left="454" w:leftChars="0" w:hanging="454" w:firstLineChars="0"/>
              <w:jc w:val="center"/>
              <w:textAlignment w:val="center"/>
              <w:rPr>
                <w:rFonts w:hint="default" w:ascii="Times New Roman" w:hAnsi="Times New Roman" w:eastAsia="宋体" w:cs="Times New Roman"/>
                <w:kern w:val="2"/>
                <w:sz w:val="24"/>
                <w:szCs w:val="24"/>
                <w:highlight w:val="none"/>
                <w:lang w:val="en-US" w:eastAsia="zh-CN" w:bidi="ar-SA"/>
              </w:rPr>
            </w:pPr>
          </w:p>
        </w:tc>
        <w:tc>
          <w:tcPr>
            <w:tcW w:w="652" w:type="pct"/>
            <w:vAlign w:val="center"/>
          </w:tcPr>
          <w:p w14:paraId="5E18855A">
            <w:pPr>
              <w:keepNext w:val="0"/>
              <w:keepLines/>
              <w:widowControl/>
              <w:suppressLineNumbers w:val="0"/>
              <w:ind w:left="0" w:leftChars="0" w:firstLine="0" w:firstLineChars="0"/>
              <w:jc w:val="center"/>
              <w:textAlignment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强化金融支持政策引导</w:t>
            </w:r>
          </w:p>
        </w:tc>
        <w:tc>
          <w:tcPr>
            <w:tcW w:w="3423" w:type="pct"/>
            <w:shd w:val="clear" w:color="auto" w:fill="auto"/>
            <w:vAlign w:val="center"/>
          </w:tcPr>
          <w:p w14:paraId="0B8E8D52">
            <w:pPr>
              <w:keepNext w:val="0"/>
              <w:keepLines/>
              <w:widowControl/>
              <w:suppressLineNumbers w:val="0"/>
              <w:ind w:left="0" w:leftChars="0" w:firstLine="0" w:firstLineChars="0"/>
              <w:jc w:val="both"/>
              <w:textAlignment w:val="center"/>
              <w:rPr>
                <w:rFonts w:hint="eastAsia" w:eastAsia="宋体" w:cs="Times New Roman"/>
                <w:sz w:val="24"/>
                <w:szCs w:val="24"/>
                <w:highlight w:val="none"/>
                <w:lang w:eastAsia="zh-CN"/>
              </w:rPr>
            </w:pPr>
            <w:r>
              <w:rPr>
                <w:rFonts w:hint="eastAsia" w:eastAsia="宋体" w:cs="Times New Roman"/>
                <w:sz w:val="24"/>
                <w:szCs w:val="24"/>
                <w:highlight w:val="none"/>
              </w:rPr>
              <w:t>构建功能完善的绿色金融机构体系</w:t>
            </w:r>
            <w:r>
              <w:rPr>
                <w:rFonts w:hint="eastAsia" w:eastAsia="宋体" w:cs="Times New Roman"/>
                <w:sz w:val="24"/>
                <w:szCs w:val="24"/>
                <w:highlight w:val="none"/>
                <w:lang w:eastAsia="zh-CN"/>
              </w:rPr>
              <w:t>：</w:t>
            </w:r>
            <w:r>
              <w:rPr>
                <w:rFonts w:hint="eastAsia" w:eastAsia="宋体" w:cs="Times New Roman"/>
                <w:sz w:val="24"/>
                <w:szCs w:val="24"/>
                <w:highlight w:val="none"/>
              </w:rPr>
              <w:t>鼓励有条件的金融机构在经开区内设立绿色金融事业部、绿色金融支行、绿色金融团队等组织机构</w:t>
            </w:r>
            <w:r>
              <w:rPr>
                <w:rFonts w:hint="eastAsia" w:eastAsia="宋体" w:cs="Times New Roman"/>
                <w:sz w:val="24"/>
                <w:szCs w:val="24"/>
                <w:highlight w:val="none"/>
                <w:lang w:eastAsia="zh-CN"/>
              </w:rPr>
              <w:t>。</w:t>
            </w:r>
          </w:p>
          <w:p w14:paraId="0B5E9AC1">
            <w:pPr>
              <w:keepNext w:val="0"/>
              <w:keepLines/>
              <w:widowControl/>
              <w:suppressLineNumbers w:val="0"/>
              <w:ind w:left="0" w:leftChars="0" w:firstLine="0" w:firstLineChars="0"/>
              <w:jc w:val="both"/>
              <w:textAlignment w:val="center"/>
              <w:rPr>
                <w:rFonts w:hint="eastAsia" w:eastAsia="宋体" w:cs="Times New Roman"/>
                <w:sz w:val="24"/>
                <w:szCs w:val="24"/>
                <w:highlight w:val="none"/>
                <w:lang w:eastAsia="zh-CN"/>
              </w:rPr>
            </w:pPr>
            <w:r>
              <w:rPr>
                <w:rFonts w:hint="eastAsia" w:eastAsia="宋体" w:cs="Times New Roman"/>
                <w:sz w:val="24"/>
                <w:szCs w:val="24"/>
                <w:highlight w:val="none"/>
              </w:rPr>
              <w:t>构建丰富多元的绿色金融产品体系</w:t>
            </w:r>
            <w:r>
              <w:rPr>
                <w:rFonts w:hint="eastAsia" w:eastAsia="宋体" w:cs="Times New Roman"/>
                <w:sz w:val="24"/>
                <w:szCs w:val="24"/>
                <w:highlight w:val="none"/>
                <w:lang w:eastAsia="zh-CN"/>
              </w:rPr>
              <w:t>：</w:t>
            </w:r>
            <w:r>
              <w:rPr>
                <w:rFonts w:hint="eastAsia" w:eastAsia="宋体" w:cs="Times New Roman"/>
                <w:sz w:val="24"/>
                <w:szCs w:val="24"/>
                <w:highlight w:val="none"/>
              </w:rPr>
              <w:t>积极运用政策性金融、开发性金融专项融资产品，支持能源基础设施、节能降碳改造、绿色低碳先进技术示范应用、环境基础设施、循环经济发展、生态保护修复等项目建设</w:t>
            </w:r>
            <w:r>
              <w:rPr>
                <w:rFonts w:hint="eastAsia" w:eastAsia="宋体" w:cs="Times New Roman"/>
                <w:sz w:val="24"/>
                <w:szCs w:val="24"/>
                <w:highlight w:val="none"/>
                <w:lang w:eastAsia="zh-CN"/>
              </w:rPr>
              <w:t>。</w:t>
            </w:r>
          </w:p>
        </w:tc>
        <w:tc>
          <w:tcPr>
            <w:tcW w:w="653" w:type="pct"/>
            <w:shd w:val="clear" w:color="auto" w:fill="auto"/>
            <w:vAlign w:val="center"/>
          </w:tcPr>
          <w:p w14:paraId="7FAFE022">
            <w:pPr>
              <w:keepNext w:val="0"/>
              <w:keepLines/>
              <w:widowControl/>
              <w:suppressLineNumbers w:val="0"/>
              <w:ind w:left="0" w:leftChars="0" w:firstLine="0" w:firstLineChars="0"/>
              <w:jc w:val="center"/>
              <w:textAlignment w:val="center"/>
              <w:rPr>
                <w:rFonts w:hint="eastAsia" w:ascii="Times New Roman" w:hAnsi="Times New Roman" w:eastAsia="宋体" w:cs="Times New Roman"/>
                <w:sz w:val="24"/>
                <w:szCs w:val="24"/>
                <w:highlight w:val="none"/>
                <w:lang w:eastAsia="zh-CN"/>
              </w:rPr>
            </w:pPr>
            <w:r>
              <w:rPr>
                <w:rFonts w:hint="eastAsia" w:eastAsia="宋体" w:cs="Times New Roman"/>
                <w:sz w:val="24"/>
                <w:szCs w:val="24"/>
                <w:highlight w:val="none"/>
                <w:lang w:eastAsia="zh-CN"/>
              </w:rPr>
              <w:t>经济发展局</w:t>
            </w:r>
            <w:r>
              <w:rPr>
                <w:rFonts w:hint="eastAsia" w:ascii="Times New Roman" w:hAnsi="Times New Roman" w:eastAsia="宋体" w:cs="Times New Roman"/>
                <w:sz w:val="24"/>
                <w:szCs w:val="24"/>
                <w:highlight w:val="none"/>
              </w:rPr>
              <w:t>、</w:t>
            </w:r>
            <w:r>
              <w:rPr>
                <w:rFonts w:hint="eastAsia" w:eastAsia="宋体" w:cs="Times New Roman"/>
                <w:sz w:val="24"/>
                <w:szCs w:val="24"/>
                <w:highlight w:val="none"/>
                <w:lang w:eastAsia="zh-CN"/>
              </w:rPr>
              <w:t>投资促进局</w:t>
            </w:r>
          </w:p>
        </w:tc>
      </w:tr>
      <w:tr w14:paraId="65F43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0" w:type="pct"/>
            <w:vAlign w:val="center"/>
          </w:tcPr>
          <w:p w14:paraId="39D765D0">
            <w:pPr>
              <w:keepNext w:val="0"/>
              <w:keepLines/>
              <w:widowControl/>
              <w:numPr>
                <w:ilvl w:val="0"/>
                <w:numId w:val="2"/>
              </w:numPr>
              <w:suppressLineNumbers w:val="0"/>
              <w:tabs>
                <w:tab w:val="clear" w:pos="0"/>
              </w:tabs>
              <w:ind w:left="454" w:leftChars="0" w:hanging="454" w:firstLineChars="0"/>
              <w:jc w:val="center"/>
              <w:textAlignment w:val="center"/>
              <w:rPr>
                <w:rFonts w:hint="default" w:ascii="Times New Roman" w:hAnsi="Times New Roman" w:eastAsia="宋体" w:cs="Times New Roman"/>
                <w:kern w:val="2"/>
                <w:sz w:val="24"/>
                <w:szCs w:val="24"/>
                <w:highlight w:val="none"/>
                <w:lang w:val="en-US" w:eastAsia="zh-CN" w:bidi="ar-SA"/>
              </w:rPr>
            </w:pPr>
          </w:p>
        </w:tc>
        <w:tc>
          <w:tcPr>
            <w:tcW w:w="652" w:type="pct"/>
            <w:vAlign w:val="center"/>
          </w:tcPr>
          <w:p w14:paraId="5520739D">
            <w:pPr>
              <w:keepNext w:val="0"/>
              <w:keepLines/>
              <w:widowControl/>
              <w:suppressLineNumbers w:val="0"/>
              <w:ind w:left="0" w:leftChars="0" w:firstLine="0" w:firstLineChars="0"/>
              <w:jc w:val="center"/>
              <w:textAlignment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探索开展碳排放双控制度创新</w:t>
            </w:r>
          </w:p>
        </w:tc>
        <w:tc>
          <w:tcPr>
            <w:tcW w:w="3423" w:type="pct"/>
            <w:shd w:val="clear" w:color="auto" w:fill="auto"/>
            <w:vAlign w:val="center"/>
          </w:tcPr>
          <w:p w14:paraId="3ADA42E6">
            <w:pPr>
              <w:keepNext w:val="0"/>
              <w:keepLines/>
              <w:widowControl/>
              <w:suppressLineNumbers w:val="0"/>
              <w:ind w:left="0" w:leftChars="0" w:firstLine="0" w:firstLineChars="0"/>
              <w:jc w:val="both"/>
              <w:textAlignment w:val="center"/>
              <w:rPr>
                <w:rFonts w:hint="eastAsia" w:eastAsia="宋体" w:cs="Times New Roman"/>
                <w:sz w:val="24"/>
                <w:szCs w:val="24"/>
                <w:highlight w:val="none"/>
                <w:lang w:eastAsia="zh-CN"/>
              </w:rPr>
            </w:pPr>
            <w:r>
              <w:rPr>
                <w:rFonts w:hint="eastAsia" w:eastAsia="宋体" w:cs="Times New Roman"/>
                <w:sz w:val="24"/>
                <w:szCs w:val="24"/>
                <w:highlight w:val="none"/>
              </w:rPr>
              <w:t>研究编制园区级碳排放预算管理方案，根据经开区碳达峰目标，研究设定年度碳预算总量</w:t>
            </w:r>
            <w:r>
              <w:rPr>
                <w:rFonts w:hint="eastAsia" w:eastAsia="宋体" w:cs="Times New Roman"/>
                <w:sz w:val="24"/>
                <w:szCs w:val="24"/>
                <w:highlight w:val="none"/>
                <w:lang w:eastAsia="zh-CN"/>
              </w:rPr>
              <w:t>；</w:t>
            </w:r>
            <w:r>
              <w:rPr>
                <w:rFonts w:hint="eastAsia" w:eastAsia="宋体" w:cs="Times New Roman"/>
                <w:sz w:val="24"/>
                <w:szCs w:val="24"/>
                <w:highlight w:val="none"/>
              </w:rPr>
              <w:t>建立健全碳排放标准计量体系，支持建设一批工业数字化碳管理公共服务平台</w:t>
            </w:r>
            <w:r>
              <w:rPr>
                <w:rFonts w:hint="eastAsia" w:eastAsia="宋体" w:cs="Times New Roman"/>
                <w:sz w:val="24"/>
                <w:szCs w:val="24"/>
                <w:highlight w:val="none"/>
                <w:lang w:eastAsia="zh-CN"/>
              </w:rPr>
              <w:t>；</w:t>
            </w:r>
            <w:r>
              <w:rPr>
                <w:rFonts w:hint="eastAsia" w:eastAsia="宋体" w:cs="Times New Roman"/>
                <w:sz w:val="24"/>
                <w:szCs w:val="24"/>
                <w:highlight w:val="none"/>
              </w:rPr>
              <w:t>强化重点企业计量要求，推动能源计量与碳计量有效衔接，开展碳排放计量审查试点</w:t>
            </w:r>
            <w:r>
              <w:rPr>
                <w:rFonts w:hint="eastAsia" w:eastAsia="宋体" w:cs="Times New Roman"/>
                <w:sz w:val="24"/>
                <w:szCs w:val="24"/>
                <w:highlight w:val="none"/>
                <w:lang w:eastAsia="zh-CN"/>
              </w:rPr>
              <w:t>。</w:t>
            </w:r>
          </w:p>
        </w:tc>
        <w:tc>
          <w:tcPr>
            <w:tcW w:w="653" w:type="pct"/>
            <w:shd w:val="clear" w:color="auto" w:fill="auto"/>
            <w:vAlign w:val="center"/>
          </w:tcPr>
          <w:p w14:paraId="528B618D">
            <w:pPr>
              <w:keepNext w:val="0"/>
              <w:keepLines/>
              <w:widowControl/>
              <w:suppressLineNumbers w:val="0"/>
              <w:ind w:left="0" w:leftChars="0" w:firstLine="0" w:firstLineChars="0"/>
              <w:jc w:val="center"/>
              <w:textAlignment w:val="center"/>
              <w:rPr>
                <w:rFonts w:hint="eastAsia" w:ascii="Times New Roman" w:hAnsi="Times New Roman" w:eastAsia="宋体" w:cs="Times New Roman"/>
                <w:sz w:val="24"/>
                <w:szCs w:val="24"/>
                <w:highlight w:val="none"/>
                <w:lang w:eastAsia="zh-CN"/>
              </w:rPr>
            </w:pPr>
            <w:r>
              <w:rPr>
                <w:rFonts w:hint="eastAsia" w:eastAsia="宋体" w:cs="Times New Roman"/>
                <w:sz w:val="24"/>
                <w:szCs w:val="24"/>
                <w:highlight w:val="none"/>
                <w:lang w:eastAsia="zh-CN"/>
              </w:rPr>
              <w:t>经济发展局</w:t>
            </w:r>
          </w:p>
        </w:tc>
      </w:tr>
      <w:tr w14:paraId="35057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0" w:type="pct"/>
            <w:vAlign w:val="center"/>
          </w:tcPr>
          <w:p w14:paraId="0DE9ADEB">
            <w:pPr>
              <w:keepNext w:val="0"/>
              <w:keepLines/>
              <w:widowControl/>
              <w:numPr>
                <w:ilvl w:val="0"/>
                <w:numId w:val="2"/>
              </w:numPr>
              <w:suppressLineNumbers w:val="0"/>
              <w:tabs>
                <w:tab w:val="clear" w:pos="0"/>
              </w:tabs>
              <w:ind w:left="454" w:leftChars="0" w:hanging="454" w:firstLineChars="0"/>
              <w:jc w:val="center"/>
              <w:textAlignment w:val="center"/>
              <w:rPr>
                <w:rFonts w:hint="default" w:ascii="Times New Roman" w:hAnsi="Times New Roman" w:eastAsia="宋体" w:cs="Times New Roman"/>
                <w:kern w:val="2"/>
                <w:sz w:val="24"/>
                <w:szCs w:val="24"/>
                <w:highlight w:val="none"/>
                <w:lang w:val="en-US" w:eastAsia="zh-CN" w:bidi="ar-SA"/>
              </w:rPr>
            </w:pPr>
          </w:p>
        </w:tc>
        <w:tc>
          <w:tcPr>
            <w:tcW w:w="652" w:type="pct"/>
            <w:vAlign w:val="center"/>
          </w:tcPr>
          <w:p w14:paraId="3F96523D">
            <w:pPr>
              <w:keepNext w:val="0"/>
              <w:keepLines/>
              <w:widowControl/>
              <w:suppressLineNumbers w:val="0"/>
              <w:ind w:left="0" w:leftChars="0" w:firstLine="0" w:firstLineChars="0"/>
              <w:jc w:val="center"/>
              <w:textAlignment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推动企业绿色低碳转型</w:t>
            </w:r>
          </w:p>
        </w:tc>
        <w:tc>
          <w:tcPr>
            <w:tcW w:w="3423" w:type="pct"/>
            <w:shd w:val="clear" w:color="auto" w:fill="auto"/>
            <w:vAlign w:val="center"/>
          </w:tcPr>
          <w:p w14:paraId="5FD1486D">
            <w:pPr>
              <w:keepNext w:val="0"/>
              <w:keepLines/>
              <w:widowControl/>
              <w:suppressLineNumbers w:val="0"/>
              <w:ind w:left="0" w:leftChars="0" w:firstLine="0" w:firstLineChars="0"/>
              <w:jc w:val="both"/>
              <w:textAlignment w:val="center"/>
              <w:rPr>
                <w:rFonts w:hint="eastAsia" w:eastAsia="宋体" w:cs="Times New Roman"/>
                <w:sz w:val="24"/>
                <w:szCs w:val="24"/>
                <w:highlight w:val="none"/>
                <w:lang w:eastAsia="zh-CN"/>
              </w:rPr>
            </w:pPr>
            <w:r>
              <w:rPr>
                <w:rFonts w:hint="eastAsia" w:eastAsia="宋体" w:cs="Times New Roman"/>
                <w:sz w:val="24"/>
                <w:szCs w:val="24"/>
                <w:highlight w:val="none"/>
              </w:rPr>
              <w:t>推动制定“一企一策”节能降碳改造方案，支撑重点用能单位碳达峰</w:t>
            </w:r>
            <w:r>
              <w:rPr>
                <w:rFonts w:hint="eastAsia" w:eastAsia="宋体" w:cs="Times New Roman"/>
                <w:sz w:val="24"/>
                <w:szCs w:val="24"/>
                <w:highlight w:val="none"/>
                <w:lang w:eastAsia="zh-CN"/>
              </w:rPr>
              <w:t>；</w:t>
            </w:r>
            <w:r>
              <w:rPr>
                <w:rFonts w:hint="eastAsia" w:eastAsia="宋体" w:cs="Times New Roman"/>
                <w:sz w:val="24"/>
                <w:szCs w:val="24"/>
                <w:highlight w:val="none"/>
              </w:rPr>
              <w:t>组织开展高耗能行业、重点用能企业以及存量“两高”项目专项节能监察，加强对重点行业企业能效水平执行情况的日常监测和现场检查</w:t>
            </w:r>
            <w:r>
              <w:rPr>
                <w:rFonts w:hint="eastAsia" w:eastAsia="宋体" w:cs="Times New Roman"/>
                <w:sz w:val="24"/>
                <w:szCs w:val="24"/>
                <w:highlight w:val="none"/>
                <w:lang w:eastAsia="zh-CN"/>
              </w:rPr>
              <w:t>；</w:t>
            </w:r>
            <w:r>
              <w:rPr>
                <w:rFonts w:hint="eastAsia" w:eastAsia="宋体" w:cs="Times New Roman"/>
                <w:sz w:val="24"/>
                <w:szCs w:val="24"/>
                <w:highlight w:val="none"/>
              </w:rPr>
              <w:t>开展“节能服务进企业”活动，组织行业协会、节能服务机构和高效节能设备提供商为用能企业开展全面诊断或专项诊断，提出节能技术推广和节能改造建议</w:t>
            </w:r>
            <w:r>
              <w:rPr>
                <w:rFonts w:hint="eastAsia" w:eastAsia="宋体" w:cs="Times New Roman"/>
                <w:sz w:val="24"/>
                <w:szCs w:val="24"/>
                <w:highlight w:val="none"/>
                <w:lang w:eastAsia="zh-CN"/>
              </w:rPr>
              <w:t>。</w:t>
            </w:r>
          </w:p>
        </w:tc>
        <w:tc>
          <w:tcPr>
            <w:tcW w:w="653" w:type="pct"/>
            <w:shd w:val="clear" w:color="auto" w:fill="auto"/>
            <w:vAlign w:val="center"/>
          </w:tcPr>
          <w:p w14:paraId="52E4BA0E">
            <w:pPr>
              <w:keepNext w:val="0"/>
              <w:keepLines/>
              <w:widowControl/>
              <w:suppressLineNumbers w:val="0"/>
              <w:ind w:left="0" w:leftChars="0" w:firstLine="0" w:firstLineChars="0"/>
              <w:jc w:val="center"/>
              <w:textAlignment w:val="center"/>
              <w:rPr>
                <w:rFonts w:hint="eastAsia" w:ascii="Times New Roman" w:hAnsi="Times New Roman" w:eastAsia="宋体" w:cs="Times New Roman"/>
                <w:sz w:val="24"/>
                <w:szCs w:val="24"/>
                <w:highlight w:val="none"/>
              </w:rPr>
            </w:pPr>
            <w:r>
              <w:rPr>
                <w:rFonts w:hint="eastAsia" w:eastAsia="宋体" w:cs="Times New Roman"/>
                <w:sz w:val="24"/>
                <w:szCs w:val="24"/>
                <w:highlight w:val="none"/>
                <w:lang w:eastAsia="zh-CN"/>
              </w:rPr>
              <w:t>经济发展局</w:t>
            </w:r>
            <w:r>
              <w:rPr>
                <w:rFonts w:hint="eastAsia" w:ascii="Times New Roman" w:hAnsi="Times New Roman" w:eastAsia="宋体" w:cs="Times New Roman"/>
                <w:sz w:val="24"/>
                <w:szCs w:val="24"/>
                <w:highlight w:val="none"/>
              </w:rPr>
              <w:t>、</w:t>
            </w:r>
            <w:r>
              <w:rPr>
                <w:rFonts w:hint="eastAsia" w:eastAsia="宋体" w:cs="Times New Roman"/>
                <w:sz w:val="24"/>
                <w:szCs w:val="24"/>
                <w:highlight w:val="none"/>
                <w:lang w:eastAsia="zh-CN"/>
              </w:rPr>
              <w:t>投资促进局</w:t>
            </w:r>
            <w:r>
              <w:rPr>
                <w:rFonts w:hint="eastAsia" w:ascii="Times New Roman" w:hAnsi="Times New Roman" w:eastAsia="宋体" w:cs="Times New Roman"/>
                <w:sz w:val="24"/>
                <w:szCs w:val="24"/>
                <w:highlight w:val="none"/>
              </w:rPr>
              <w:t>、高新区专项工作组</w:t>
            </w:r>
          </w:p>
        </w:tc>
      </w:tr>
    </w:tbl>
    <w:p w14:paraId="1923E2D7">
      <w:pPr>
        <w:ind w:firstLine="0" w:firstLineChars="0"/>
        <w:rPr>
          <w:rFonts w:hint="eastAsia"/>
          <w:lang w:eastAsia="zh-CN"/>
        </w:rPr>
        <w:sectPr>
          <w:pgSz w:w="16838" w:h="11906" w:orient="landscape"/>
          <w:pgMar w:top="1587" w:right="2098" w:bottom="1474" w:left="1985" w:header="1134" w:footer="1134" w:gutter="0"/>
          <w:cols w:space="0" w:num="1"/>
          <w:rtlGutter w:val="0"/>
          <w:docGrid w:type="linesAndChars" w:linePitch="442" w:charSpace="0"/>
        </w:sectPr>
      </w:pPr>
    </w:p>
    <w:p w14:paraId="57FF8B9E">
      <w:pPr>
        <w:pStyle w:val="3"/>
        <w:ind w:firstLine="640"/>
        <w:rPr>
          <w:highlight w:val="none"/>
        </w:rPr>
      </w:pPr>
      <w:bookmarkStart w:id="231" w:name="_Toc19984"/>
      <w:r>
        <w:rPr>
          <w:rFonts w:hint="eastAsia"/>
          <w:highlight w:val="none"/>
          <w:lang w:val="en-US" w:eastAsia="zh-CN"/>
        </w:rPr>
        <w:t>3.重点项目清单</w:t>
      </w:r>
      <w:bookmarkEnd w:id="231"/>
    </w:p>
    <w:tbl>
      <w:tblPr>
        <w:tblStyle w:val="4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1327"/>
        <w:gridCol w:w="1576"/>
        <w:gridCol w:w="5835"/>
        <w:gridCol w:w="2104"/>
        <w:gridCol w:w="1188"/>
      </w:tblGrid>
      <w:tr w14:paraId="077A9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trPr>
        <w:tc>
          <w:tcPr>
            <w:tcW w:w="360" w:type="pct"/>
            <w:vAlign w:val="center"/>
          </w:tcPr>
          <w:p w14:paraId="4D14E853">
            <w:pPr>
              <w:pStyle w:val="35"/>
              <w:jc w:val="center"/>
              <w:rPr>
                <w:b/>
                <w:bCs/>
              </w:rPr>
            </w:pPr>
            <w:r>
              <w:rPr>
                <w:b/>
                <w:bCs/>
              </w:rPr>
              <w:t>序号</w:t>
            </w:r>
          </w:p>
        </w:tc>
        <w:tc>
          <w:tcPr>
            <w:tcW w:w="512" w:type="pct"/>
            <w:vAlign w:val="center"/>
          </w:tcPr>
          <w:p w14:paraId="023C9383">
            <w:pPr>
              <w:pStyle w:val="35"/>
              <w:jc w:val="center"/>
              <w:rPr>
                <w:b/>
                <w:bCs/>
              </w:rPr>
            </w:pPr>
            <w:r>
              <w:rPr>
                <w:b/>
                <w:bCs/>
              </w:rPr>
              <w:t>项目名称</w:t>
            </w:r>
          </w:p>
        </w:tc>
        <w:tc>
          <w:tcPr>
            <w:tcW w:w="608" w:type="pct"/>
            <w:vAlign w:val="center"/>
          </w:tcPr>
          <w:p w14:paraId="6B3F8A8C">
            <w:pPr>
              <w:pStyle w:val="35"/>
              <w:jc w:val="center"/>
              <w:rPr>
                <w:b/>
                <w:bCs/>
              </w:rPr>
            </w:pPr>
            <w:r>
              <w:rPr>
                <w:b/>
                <w:bCs/>
              </w:rPr>
              <w:t>实施主体</w:t>
            </w:r>
          </w:p>
        </w:tc>
        <w:tc>
          <w:tcPr>
            <w:tcW w:w="2250" w:type="pct"/>
            <w:vAlign w:val="center"/>
          </w:tcPr>
          <w:p w14:paraId="663BD7C7">
            <w:pPr>
              <w:pStyle w:val="35"/>
              <w:jc w:val="center"/>
              <w:rPr>
                <w:rFonts w:hint="default" w:eastAsia="宋体"/>
                <w:b/>
                <w:bCs/>
                <w:lang w:val="en-US" w:eastAsia="zh-CN"/>
              </w:rPr>
            </w:pPr>
            <w:r>
              <w:rPr>
                <w:b/>
                <w:bCs/>
              </w:rPr>
              <w:t>建设内容</w:t>
            </w:r>
            <w:r>
              <w:rPr>
                <w:rFonts w:hint="eastAsia"/>
                <w:b/>
                <w:bCs/>
                <w:lang w:val="en-US" w:eastAsia="zh-CN"/>
              </w:rPr>
              <w:t>及预期成效</w:t>
            </w:r>
          </w:p>
        </w:tc>
        <w:tc>
          <w:tcPr>
            <w:tcW w:w="809" w:type="pct"/>
            <w:vAlign w:val="center"/>
          </w:tcPr>
          <w:p w14:paraId="3F9E2FB9">
            <w:pPr>
              <w:pStyle w:val="35"/>
              <w:jc w:val="center"/>
              <w:rPr>
                <w:b/>
                <w:bCs/>
              </w:rPr>
            </w:pPr>
            <w:r>
              <w:rPr>
                <w:b/>
                <w:bCs/>
              </w:rPr>
              <w:t>建设期限</w:t>
            </w:r>
          </w:p>
        </w:tc>
        <w:tc>
          <w:tcPr>
            <w:tcW w:w="458" w:type="pct"/>
            <w:vAlign w:val="center"/>
          </w:tcPr>
          <w:p w14:paraId="54FB51FA">
            <w:pPr>
              <w:pStyle w:val="35"/>
              <w:jc w:val="center"/>
              <w:rPr>
                <w:b/>
                <w:bCs/>
              </w:rPr>
            </w:pPr>
            <w:r>
              <w:rPr>
                <w:b/>
                <w:bCs/>
              </w:rPr>
              <w:t>投资规模</w:t>
            </w:r>
            <w:r>
              <w:rPr>
                <w:rFonts w:hint="eastAsia"/>
                <w:b/>
                <w:bCs/>
              </w:rPr>
              <w:t>（亿元）</w:t>
            </w:r>
          </w:p>
        </w:tc>
      </w:tr>
      <w:tr w14:paraId="68C74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541" w:type="pct"/>
            <w:gridSpan w:val="5"/>
            <w:vAlign w:val="center"/>
          </w:tcPr>
          <w:p w14:paraId="497F720B">
            <w:pPr>
              <w:pStyle w:val="35"/>
              <w:jc w:val="center"/>
            </w:pPr>
            <w:r>
              <w:t>项目合计（</w:t>
            </w:r>
            <w:r>
              <w:rPr>
                <w:rFonts w:hint="eastAsia"/>
                <w:lang w:val="en-US" w:eastAsia="zh-CN"/>
              </w:rPr>
              <w:t>51</w:t>
            </w:r>
            <w:r>
              <w:t>）</w:t>
            </w:r>
          </w:p>
        </w:tc>
        <w:tc>
          <w:tcPr>
            <w:tcW w:w="458" w:type="pct"/>
            <w:vAlign w:val="center"/>
          </w:tcPr>
          <w:p w14:paraId="2BE9D593">
            <w:pPr>
              <w:pStyle w:val="35"/>
              <w:jc w:val="center"/>
              <w:rPr>
                <w:rFonts w:hint="default" w:eastAsia="宋体"/>
                <w:lang w:val="en-US" w:eastAsia="zh-CN"/>
              </w:rPr>
            </w:pPr>
            <w:r>
              <w:rPr>
                <w:rFonts w:hint="default" w:eastAsia="宋体"/>
                <w:lang w:val="en-US" w:eastAsia="zh-CN"/>
              </w:rPr>
              <w:t>378.86</w:t>
            </w:r>
          </w:p>
        </w:tc>
      </w:tr>
      <w:tr w14:paraId="6609F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60" w:type="pct"/>
            <w:vAlign w:val="center"/>
          </w:tcPr>
          <w:p w14:paraId="68E573D6">
            <w:pPr>
              <w:pStyle w:val="35"/>
              <w:numPr>
                <w:ilvl w:val="-1"/>
                <w:numId w:val="0"/>
              </w:numPr>
              <w:tabs>
                <w:tab w:val="left" w:pos="0"/>
              </w:tabs>
              <w:ind w:left="0"/>
              <w:jc w:val="center"/>
              <w:rPr>
                <w:rFonts w:hint="eastAsia" w:eastAsia="宋体"/>
                <w:lang w:val="en-US" w:eastAsia="zh-CN"/>
              </w:rPr>
            </w:pPr>
            <w:r>
              <w:rPr>
                <w:rFonts w:hint="eastAsia"/>
                <w:lang w:eastAsia="zh-CN"/>
              </w:rPr>
              <w:t>（</w:t>
            </w:r>
            <w:r>
              <w:rPr>
                <w:rFonts w:hint="eastAsia"/>
                <w:lang w:val="en-US" w:eastAsia="zh-CN"/>
              </w:rPr>
              <w:t>一</w:t>
            </w:r>
            <w:r>
              <w:rPr>
                <w:rFonts w:hint="eastAsia"/>
                <w:lang w:eastAsia="zh-CN"/>
              </w:rPr>
              <w:t>）</w:t>
            </w:r>
          </w:p>
        </w:tc>
        <w:tc>
          <w:tcPr>
            <w:tcW w:w="4180" w:type="pct"/>
            <w:gridSpan w:val="4"/>
            <w:vAlign w:val="center"/>
          </w:tcPr>
          <w:p w14:paraId="5FFC4593">
            <w:pPr>
              <w:pStyle w:val="35"/>
              <w:jc w:val="center"/>
            </w:pPr>
            <w:r>
              <w:rPr>
                <w:rFonts w:hint="eastAsia"/>
                <w:lang w:val="en-US" w:eastAsia="zh-CN"/>
              </w:rPr>
              <w:t>产业绿色发展</w:t>
            </w:r>
            <w:r>
              <w:rPr>
                <w:rFonts w:hint="eastAsia"/>
              </w:rPr>
              <w:t>（</w:t>
            </w:r>
            <w:r>
              <w:rPr>
                <w:rFonts w:hint="eastAsia"/>
                <w:lang w:val="en-US" w:eastAsia="zh-CN"/>
              </w:rPr>
              <w:t>7</w:t>
            </w:r>
            <w:r>
              <w:rPr>
                <w:rFonts w:hint="eastAsia"/>
              </w:rPr>
              <w:t>）</w:t>
            </w:r>
          </w:p>
        </w:tc>
        <w:tc>
          <w:tcPr>
            <w:tcW w:w="458" w:type="pct"/>
            <w:vAlign w:val="center"/>
          </w:tcPr>
          <w:p w14:paraId="35163D2C">
            <w:pPr>
              <w:pStyle w:val="35"/>
              <w:jc w:val="center"/>
            </w:pPr>
            <w:r>
              <w:rPr>
                <w:rFonts w:hint="eastAsia"/>
              </w:rPr>
              <w:t>179.37</w:t>
            </w:r>
          </w:p>
        </w:tc>
      </w:tr>
      <w:tr w14:paraId="29000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60" w:type="pct"/>
            <w:vAlign w:val="center"/>
          </w:tcPr>
          <w:p w14:paraId="33230CE9">
            <w:pPr>
              <w:pStyle w:val="35"/>
              <w:numPr>
                <w:ilvl w:val="0"/>
                <w:numId w:val="3"/>
              </w:numPr>
              <w:ind w:left="454" w:hanging="454"/>
              <w:jc w:val="center"/>
              <w:rPr>
                <w:rFonts w:hint="eastAsia"/>
              </w:rPr>
            </w:pPr>
          </w:p>
        </w:tc>
        <w:tc>
          <w:tcPr>
            <w:tcW w:w="512" w:type="pct"/>
            <w:vAlign w:val="center"/>
          </w:tcPr>
          <w:p w14:paraId="1A9B4862">
            <w:pPr>
              <w:pStyle w:val="35"/>
              <w:jc w:val="center"/>
              <w:rPr>
                <w:rFonts w:hint="eastAsia"/>
              </w:rPr>
            </w:pPr>
            <w:r>
              <w:rPr>
                <w:rFonts w:hint="eastAsia"/>
              </w:rPr>
              <w:t>新疆天业灵通新材料科技有限公司年产120万吨绿色氨基新材料多联产一体化项目</w:t>
            </w:r>
          </w:p>
        </w:tc>
        <w:tc>
          <w:tcPr>
            <w:tcW w:w="608" w:type="pct"/>
            <w:vAlign w:val="center"/>
          </w:tcPr>
          <w:p w14:paraId="7EF5BFF2">
            <w:pPr>
              <w:pStyle w:val="35"/>
              <w:jc w:val="center"/>
              <w:rPr>
                <w:rFonts w:hint="eastAsia"/>
              </w:rPr>
            </w:pPr>
            <w:r>
              <w:rPr>
                <w:rFonts w:hint="eastAsia"/>
              </w:rPr>
              <w:t>新疆天业（集团）有限公司</w:t>
            </w:r>
          </w:p>
        </w:tc>
        <w:tc>
          <w:tcPr>
            <w:tcW w:w="2250" w:type="pct"/>
            <w:vAlign w:val="center"/>
          </w:tcPr>
          <w:p w14:paraId="3CED15A2">
            <w:pPr>
              <w:pStyle w:val="35"/>
              <w:rPr>
                <w:rFonts w:hint="eastAsia"/>
              </w:rPr>
            </w:pPr>
            <w:r>
              <w:rPr>
                <w:rFonts w:hint="eastAsia"/>
              </w:rPr>
              <w:t>建设规模：建设70万吨/年合成氨、120万吨/年尿素、240万吨复合肥、8万吨/年聚甲醛、0.43万吨/年硫磺（副产品）</w:t>
            </w:r>
            <w:r>
              <w:rPr>
                <w:rFonts w:hint="eastAsia"/>
                <w:lang w:eastAsia="zh-CN"/>
              </w:rPr>
              <w:t>；</w:t>
            </w:r>
            <w:r>
              <w:rPr>
                <w:rFonts w:hint="eastAsia"/>
                <w:lang w:eastAsia="zh-CN"/>
              </w:rPr>
              <w:br w:type="textWrapping"/>
            </w:r>
            <w:r>
              <w:rPr>
                <w:rFonts w:hint="eastAsia"/>
              </w:rPr>
              <w:t>（二）建设内容：主要生产系统包括空分装置、煤气化装置、合成气净化装置、硫回收装置、合成氨装置、尿素装置、复合肥装置、聚甲醛装置等。辅助及附属生产系统包括厂区办公楼、食堂、会议楼、控制中心、化验室、成品罐区、原水净化站、循环冷却水站、除盐水站、污水处理站、厂区供配电站、全厂事故水池及火炬系统等。新建装置界区内总图、储运、管廊及地下管网、道路照明、化验、消防、电讯及信息系统和绿化等。</w:t>
            </w:r>
          </w:p>
        </w:tc>
        <w:tc>
          <w:tcPr>
            <w:tcW w:w="809" w:type="pct"/>
            <w:vAlign w:val="center"/>
          </w:tcPr>
          <w:p w14:paraId="0C961126">
            <w:pPr>
              <w:pStyle w:val="35"/>
              <w:jc w:val="center"/>
              <w:rPr>
                <w:rFonts w:hint="eastAsia"/>
              </w:rPr>
            </w:pPr>
            <w:r>
              <w:rPr>
                <w:rFonts w:hint="eastAsia"/>
              </w:rPr>
              <w:t>2025.06—2026.12</w:t>
            </w:r>
          </w:p>
        </w:tc>
        <w:tc>
          <w:tcPr>
            <w:tcW w:w="458" w:type="pct"/>
            <w:vAlign w:val="center"/>
          </w:tcPr>
          <w:p w14:paraId="3CAC3A5C">
            <w:pPr>
              <w:pStyle w:val="35"/>
              <w:jc w:val="center"/>
              <w:rPr>
                <w:rFonts w:hint="eastAsia"/>
                <w:lang w:val="en-US" w:eastAsia="zh-CN"/>
              </w:rPr>
            </w:pPr>
            <w:r>
              <w:rPr>
                <w:rFonts w:hint="eastAsia"/>
                <w:lang w:val="en-US" w:eastAsia="zh-CN"/>
              </w:rPr>
              <w:t>75.98</w:t>
            </w:r>
          </w:p>
        </w:tc>
      </w:tr>
      <w:tr w14:paraId="15B95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60" w:type="pct"/>
            <w:vAlign w:val="center"/>
          </w:tcPr>
          <w:p w14:paraId="6607FF18">
            <w:pPr>
              <w:pStyle w:val="35"/>
              <w:numPr>
                <w:ilvl w:val="0"/>
                <w:numId w:val="3"/>
              </w:numPr>
              <w:ind w:left="454" w:hanging="454"/>
              <w:jc w:val="center"/>
              <w:rPr>
                <w:rFonts w:hint="eastAsia"/>
              </w:rPr>
            </w:pPr>
          </w:p>
        </w:tc>
        <w:tc>
          <w:tcPr>
            <w:tcW w:w="512" w:type="pct"/>
            <w:vAlign w:val="center"/>
          </w:tcPr>
          <w:p w14:paraId="75C7F2CA">
            <w:pPr>
              <w:pStyle w:val="35"/>
              <w:jc w:val="center"/>
              <w:rPr>
                <w:rFonts w:hint="eastAsia"/>
              </w:rPr>
            </w:pPr>
            <w:r>
              <w:rPr>
                <w:rFonts w:hint="eastAsia"/>
              </w:rPr>
              <w:t>中科一碳能源科技（大连）有限公司年产60万吨液态阳光绿电甲醇综合利用项目</w:t>
            </w:r>
          </w:p>
        </w:tc>
        <w:tc>
          <w:tcPr>
            <w:tcW w:w="608" w:type="pct"/>
            <w:vAlign w:val="center"/>
          </w:tcPr>
          <w:p w14:paraId="5D00BF06">
            <w:pPr>
              <w:pStyle w:val="35"/>
              <w:jc w:val="center"/>
              <w:rPr>
                <w:rFonts w:hint="eastAsia"/>
              </w:rPr>
            </w:pPr>
            <w:r>
              <w:rPr>
                <w:rFonts w:hint="eastAsia"/>
              </w:rPr>
              <w:t>中科一碳能源科技（大连）有限公司</w:t>
            </w:r>
          </w:p>
        </w:tc>
        <w:tc>
          <w:tcPr>
            <w:tcW w:w="2250" w:type="pct"/>
            <w:vAlign w:val="center"/>
          </w:tcPr>
          <w:p w14:paraId="6687A32B">
            <w:pPr>
              <w:pStyle w:val="35"/>
              <w:rPr>
                <w:rFonts w:hint="eastAsia"/>
              </w:rPr>
            </w:pPr>
            <w:r>
              <w:rPr>
                <w:rFonts w:hint="eastAsia"/>
              </w:rPr>
              <w:t>项目1：投资51亿元，建设1.8GW光伏电站及相关配套设施（光伏电站所发电量全部用于项目2制氢）；</w:t>
            </w:r>
          </w:p>
          <w:p w14:paraId="1FB2AD31">
            <w:pPr>
              <w:pStyle w:val="35"/>
              <w:rPr>
                <w:rFonts w:hint="eastAsia"/>
              </w:rPr>
            </w:pPr>
            <w:r>
              <w:rPr>
                <w:rFonts w:hint="eastAsia"/>
              </w:rPr>
              <w:t>项目2：投资22亿元，建设年产5.4亿标方的电解水制氢工厂；</w:t>
            </w:r>
          </w:p>
          <w:p w14:paraId="7099E41C">
            <w:pPr>
              <w:pStyle w:val="35"/>
              <w:rPr>
                <w:rFonts w:hint="eastAsia"/>
              </w:rPr>
            </w:pPr>
            <w:r>
              <w:rPr>
                <w:rFonts w:hint="eastAsia"/>
              </w:rPr>
              <w:t>项目3：投资16.8亿元，建设年产60万吨的液态阳光绿电甲醇合成工厂；</w:t>
            </w:r>
          </w:p>
          <w:p w14:paraId="5326923F">
            <w:pPr>
              <w:pStyle w:val="35"/>
              <w:rPr>
                <w:rFonts w:hint="eastAsia"/>
              </w:rPr>
            </w:pPr>
            <w:r>
              <w:rPr>
                <w:rFonts w:hint="eastAsia"/>
              </w:rPr>
              <w:t>项目4：投资1.2亿元，建设甲醇加注站40个；</w:t>
            </w:r>
          </w:p>
          <w:p w14:paraId="6DA27554">
            <w:pPr>
              <w:pStyle w:val="35"/>
              <w:rPr>
                <w:rFonts w:hint="eastAsia"/>
              </w:rPr>
            </w:pPr>
            <w:r>
              <w:rPr>
                <w:rFonts w:hint="eastAsia"/>
              </w:rPr>
              <w:t>同时根据项目进度及市场情况拟配套建设一个专用车改装厂。</w:t>
            </w:r>
          </w:p>
        </w:tc>
        <w:tc>
          <w:tcPr>
            <w:tcW w:w="809" w:type="pct"/>
            <w:vAlign w:val="center"/>
          </w:tcPr>
          <w:p w14:paraId="60AF9B60">
            <w:pPr>
              <w:pStyle w:val="35"/>
              <w:jc w:val="center"/>
              <w:rPr>
                <w:rFonts w:hint="eastAsia"/>
              </w:rPr>
            </w:pPr>
            <w:r>
              <w:rPr>
                <w:rFonts w:hint="eastAsia"/>
              </w:rPr>
              <w:t>202</w:t>
            </w:r>
            <w:r>
              <w:rPr>
                <w:rFonts w:hint="eastAsia"/>
                <w:lang w:val="en-US" w:eastAsia="zh-CN"/>
              </w:rPr>
              <w:t>5</w:t>
            </w:r>
            <w:r>
              <w:rPr>
                <w:rFonts w:hint="eastAsia"/>
                <w:lang w:eastAsia="zh-CN"/>
              </w:rPr>
              <w:t>.</w:t>
            </w:r>
            <w:r>
              <w:rPr>
                <w:rFonts w:hint="eastAsia"/>
                <w:lang w:val="en-US" w:eastAsia="zh-CN"/>
              </w:rPr>
              <w:t>04—</w:t>
            </w:r>
            <w:r>
              <w:rPr>
                <w:rFonts w:hint="eastAsia"/>
              </w:rPr>
              <w:t>202</w:t>
            </w:r>
            <w:r>
              <w:rPr>
                <w:rFonts w:hint="eastAsia"/>
                <w:lang w:val="en-US" w:eastAsia="zh-CN"/>
              </w:rPr>
              <w:t>6.12</w:t>
            </w:r>
          </w:p>
        </w:tc>
        <w:tc>
          <w:tcPr>
            <w:tcW w:w="458" w:type="pct"/>
            <w:vAlign w:val="center"/>
          </w:tcPr>
          <w:p w14:paraId="631E4C91">
            <w:pPr>
              <w:pStyle w:val="35"/>
              <w:jc w:val="center"/>
              <w:rPr>
                <w:rFonts w:hint="default"/>
                <w:lang w:val="en-US" w:eastAsia="zh-CN"/>
              </w:rPr>
            </w:pPr>
            <w:r>
              <w:rPr>
                <w:rFonts w:hint="eastAsia"/>
                <w:lang w:val="en-US" w:eastAsia="zh-CN"/>
              </w:rPr>
              <w:t>91</w:t>
            </w:r>
          </w:p>
        </w:tc>
      </w:tr>
      <w:tr w14:paraId="4BF17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60" w:type="pct"/>
            <w:vAlign w:val="center"/>
          </w:tcPr>
          <w:p w14:paraId="27C99D52">
            <w:pPr>
              <w:pStyle w:val="35"/>
              <w:numPr>
                <w:ilvl w:val="0"/>
                <w:numId w:val="3"/>
              </w:numPr>
              <w:ind w:left="454" w:hanging="454"/>
              <w:jc w:val="center"/>
              <w:rPr>
                <w:rFonts w:hint="eastAsia"/>
              </w:rPr>
            </w:pPr>
          </w:p>
        </w:tc>
        <w:tc>
          <w:tcPr>
            <w:tcW w:w="512" w:type="pct"/>
            <w:vAlign w:val="center"/>
          </w:tcPr>
          <w:p w14:paraId="712DAE70">
            <w:pPr>
              <w:pStyle w:val="35"/>
              <w:jc w:val="center"/>
              <w:rPr>
                <w:rFonts w:hint="eastAsia"/>
              </w:rPr>
            </w:pPr>
            <w:r>
              <w:rPr>
                <w:rFonts w:hint="eastAsia"/>
              </w:rPr>
              <w:t>天耀2GW高效光伏组件及配套项目</w:t>
            </w:r>
          </w:p>
        </w:tc>
        <w:tc>
          <w:tcPr>
            <w:tcW w:w="608" w:type="pct"/>
            <w:vAlign w:val="center"/>
          </w:tcPr>
          <w:p w14:paraId="14256B91">
            <w:pPr>
              <w:pStyle w:val="35"/>
              <w:jc w:val="center"/>
              <w:rPr>
                <w:rFonts w:hint="eastAsia"/>
              </w:rPr>
            </w:pPr>
            <w:r>
              <w:rPr>
                <w:rFonts w:hint="eastAsia"/>
              </w:rPr>
              <w:t>新疆天富天耀新能源科技有限公司</w:t>
            </w:r>
          </w:p>
        </w:tc>
        <w:tc>
          <w:tcPr>
            <w:tcW w:w="2250" w:type="pct"/>
            <w:vAlign w:val="center"/>
          </w:tcPr>
          <w:p w14:paraId="006E175D">
            <w:pPr>
              <w:pStyle w:val="35"/>
              <w:rPr>
                <w:rFonts w:hint="eastAsia"/>
                <w:lang w:val="en-US" w:eastAsia="zh-CN"/>
              </w:rPr>
            </w:pPr>
            <w:r>
              <w:rPr>
                <w:rFonts w:hint="eastAsia"/>
              </w:rPr>
              <w:t>建设年产2GW高效光伏组件项目及4GW光伏组件配套产品，配套产品包括1375吨焊带、655万套接线盒及655万套组件边框。</w:t>
            </w:r>
          </w:p>
        </w:tc>
        <w:tc>
          <w:tcPr>
            <w:tcW w:w="809" w:type="pct"/>
            <w:vAlign w:val="center"/>
          </w:tcPr>
          <w:p w14:paraId="5809A82E">
            <w:pPr>
              <w:pStyle w:val="35"/>
              <w:jc w:val="center"/>
              <w:rPr>
                <w:rFonts w:hint="eastAsia"/>
              </w:rPr>
            </w:pPr>
            <w:r>
              <w:rPr>
                <w:rFonts w:hint="eastAsia"/>
              </w:rPr>
              <w:t>202</w:t>
            </w:r>
            <w:r>
              <w:rPr>
                <w:rFonts w:hint="eastAsia"/>
                <w:lang w:val="en-US" w:eastAsia="zh-CN"/>
              </w:rPr>
              <w:t>5</w:t>
            </w:r>
            <w:r>
              <w:rPr>
                <w:rFonts w:hint="eastAsia"/>
                <w:lang w:eastAsia="zh-CN"/>
              </w:rPr>
              <w:t>.</w:t>
            </w:r>
            <w:r>
              <w:rPr>
                <w:rFonts w:hint="eastAsia"/>
                <w:lang w:val="en-US" w:eastAsia="zh-CN"/>
              </w:rPr>
              <w:t>04—</w:t>
            </w:r>
            <w:r>
              <w:rPr>
                <w:rFonts w:hint="eastAsia"/>
              </w:rPr>
              <w:t>2025</w:t>
            </w:r>
            <w:r>
              <w:rPr>
                <w:rFonts w:hint="eastAsia"/>
                <w:lang w:val="en-US" w:eastAsia="zh-CN"/>
              </w:rPr>
              <w:t>.12</w:t>
            </w:r>
          </w:p>
        </w:tc>
        <w:tc>
          <w:tcPr>
            <w:tcW w:w="458" w:type="pct"/>
            <w:vAlign w:val="center"/>
          </w:tcPr>
          <w:p w14:paraId="228861FF">
            <w:pPr>
              <w:pStyle w:val="35"/>
              <w:jc w:val="center"/>
              <w:rPr>
                <w:rFonts w:hint="default" w:eastAsia="宋体"/>
                <w:lang w:val="en-US" w:eastAsia="zh-CN"/>
              </w:rPr>
            </w:pPr>
            <w:r>
              <w:rPr>
                <w:rFonts w:hint="eastAsia"/>
                <w:lang w:val="en-US" w:eastAsia="zh-CN"/>
              </w:rPr>
              <w:t>2.94</w:t>
            </w:r>
          </w:p>
        </w:tc>
      </w:tr>
      <w:tr w14:paraId="35BF3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60" w:type="pct"/>
            <w:vAlign w:val="center"/>
          </w:tcPr>
          <w:p w14:paraId="264EFAF3">
            <w:pPr>
              <w:pStyle w:val="35"/>
              <w:numPr>
                <w:ilvl w:val="0"/>
                <w:numId w:val="3"/>
              </w:numPr>
              <w:ind w:left="454" w:hanging="454"/>
              <w:jc w:val="center"/>
              <w:rPr>
                <w:rFonts w:hint="eastAsia"/>
              </w:rPr>
            </w:pPr>
          </w:p>
        </w:tc>
        <w:tc>
          <w:tcPr>
            <w:tcW w:w="512" w:type="pct"/>
            <w:vAlign w:val="center"/>
          </w:tcPr>
          <w:p w14:paraId="7692C720">
            <w:pPr>
              <w:pStyle w:val="35"/>
              <w:ind w:firstLine="0" w:firstLineChars="0"/>
              <w:jc w:val="center"/>
              <w:rPr>
                <w:rFonts w:hint="eastAsia"/>
              </w:rPr>
            </w:pPr>
            <w:r>
              <w:rPr>
                <w:rFonts w:hint="eastAsia"/>
              </w:rPr>
              <w:t>新疆天润轩新能源有限公司年产3GWh储能电池Pack工厂项目（一期）</w:t>
            </w:r>
          </w:p>
        </w:tc>
        <w:tc>
          <w:tcPr>
            <w:tcW w:w="608" w:type="pct"/>
            <w:vAlign w:val="center"/>
          </w:tcPr>
          <w:p w14:paraId="3E22998D">
            <w:pPr>
              <w:pStyle w:val="35"/>
              <w:ind w:firstLine="0" w:firstLineChars="0"/>
              <w:jc w:val="center"/>
              <w:rPr>
                <w:rFonts w:hint="eastAsia"/>
              </w:rPr>
            </w:pPr>
            <w:r>
              <w:rPr>
                <w:rFonts w:hint="eastAsia"/>
              </w:rPr>
              <w:t>新疆天润轩新能源有限公司</w:t>
            </w:r>
          </w:p>
        </w:tc>
        <w:tc>
          <w:tcPr>
            <w:tcW w:w="2250" w:type="pct"/>
            <w:vAlign w:val="center"/>
          </w:tcPr>
          <w:p w14:paraId="4A60C653">
            <w:pPr>
              <w:pStyle w:val="35"/>
              <w:ind w:firstLine="0" w:firstLineChars="0"/>
              <w:rPr>
                <w:rFonts w:hint="eastAsia"/>
              </w:rPr>
            </w:pPr>
            <w:r>
              <w:rPr>
                <w:rFonts w:hint="eastAsia"/>
              </w:rPr>
              <w:t>建设年产3GWh储能电池Pack生产线，新建生产车间1栋、综合楼1栋、仓库1栋，占地面积39294平方米，建筑面积30000平方米。购置储能电池Pack生产线、测试线、集成线等装置，配套相关附属设施。</w:t>
            </w:r>
          </w:p>
        </w:tc>
        <w:tc>
          <w:tcPr>
            <w:tcW w:w="809" w:type="pct"/>
            <w:vAlign w:val="center"/>
          </w:tcPr>
          <w:p w14:paraId="10E53DAC">
            <w:pPr>
              <w:pStyle w:val="35"/>
              <w:ind w:firstLine="0" w:firstLineChars="0"/>
              <w:jc w:val="center"/>
              <w:rPr>
                <w:rFonts w:hint="eastAsia"/>
              </w:rPr>
            </w:pPr>
            <w:r>
              <w:rPr>
                <w:rFonts w:hint="eastAsia"/>
              </w:rPr>
              <w:t>202</w:t>
            </w:r>
            <w:r>
              <w:rPr>
                <w:rFonts w:hint="eastAsia"/>
                <w:lang w:val="en-US" w:eastAsia="zh-CN"/>
              </w:rPr>
              <w:t>5</w:t>
            </w:r>
            <w:r>
              <w:rPr>
                <w:rFonts w:hint="eastAsia"/>
                <w:lang w:eastAsia="zh-CN"/>
              </w:rPr>
              <w:t>.</w:t>
            </w:r>
            <w:r>
              <w:rPr>
                <w:rFonts w:hint="eastAsia"/>
                <w:lang w:val="en-US" w:eastAsia="zh-CN"/>
              </w:rPr>
              <w:t>04—</w:t>
            </w:r>
            <w:r>
              <w:rPr>
                <w:rFonts w:hint="eastAsia"/>
              </w:rPr>
              <w:t>2025</w:t>
            </w:r>
            <w:r>
              <w:rPr>
                <w:rFonts w:hint="eastAsia"/>
                <w:lang w:val="en-US" w:eastAsia="zh-CN"/>
              </w:rPr>
              <w:t>.12</w:t>
            </w:r>
          </w:p>
        </w:tc>
        <w:tc>
          <w:tcPr>
            <w:tcW w:w="458" w:type="pct"/>
            <w:vAlign w:val="center"/>
          </w:tcPr>
          <w:p w14:paraId="5FA94ADD">
            <w:pPr>
              <w:pStyle w:val="35"/>
              <w:ind w:firstLine="0" w:firstLineChars="0"/>
              <w:jc w:val="center"/>
              <w:rPr>
                <w:rFonts w:hint="eastAsia"/>
                <w:lang w:val="en-US" w:eastAsia="zh-CN"/>
              </w:rPr>
            </w:pPr>
            <w:r>
              <w:rPr>
                <w:rFonts w:hint="eastAsia"/>
                <w:lang w:val="en-US" w:eastAsia="zh-CN"/>
              </w:rPr>
              <w:t>0.40</w:t>
            </w:r>
          </w:p>
        </w:tc>
      </w:tr>
      <w:tr w14:paraId="7A842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93" w:hRule="atLeast"/>
        </w:trPr>
        <w:tc>
          <w:tcPr>
            <w:tcW w:w="360" w:type="pct"/>
            <w:vAlign w:val="center"/>
          </w:tcPr>
          <w:p w14:paraId="651A2549">
            <w:pPr>
              <w:pStyle w:val="35"/>
              <w:numPr>
                <w:ilvl w:val="0"/>
                <w:numId w:val="3"/>
              </w:numPr>
              <w:ind w:left="454" w:hanging="454"/>
              <w:jc w:val="center"/>
              <w:rPr>
                <w:rFonts w:hint="eastAsia"/>
              </w:rPr>
            </w:pPr>
          </w:p>
        </w:tc>
        <w:tc>
          <w:tcPr>
            <w:tcW w:w="512" w:type="pct"/>
            <w:vAlign w:val="center"/>
          </w:tcPr>
          <w:p w14:paraId="4EEB81FC">
            <w:pPr>
              <w:pStyle w:val="35"/>
              <w:jc w:val="center"/>
              <w:rPr>
                <w:rFonts w:hint="eastAsia"/>
              </w:rPr>
            </w:pPr>
            <w:r>
              <w:rPr>
                <w:rFonts w:hint="eastAsia"/>
              </w:rPr>
              <w:t>新疆天新杰能新能源有限公司新能源产业装备制造中心项目</w:t>
            </w:r>
          </w:p>
        </w:tc>
        <w:tc>
          <w:tcPr>
            <w:tcW w:w="608" w:type="pct"/>
            <w:vAlign w:val="center"/>
          </w:tcPr>
          <w:p w14:paraId="14848F05">
            <w:pPr>
              <w:pStyle w:val="35"/>
              <w:jc w:val="center"/>
              <w:rPr>
                <w:rFonts w:hint="eastAsia"/>
              </w:rPr>
            </w:pPr>
            <w:r>
              <w:rPr>
                <w:rFonts w:hint="eastAsia"/>
              </w:rPr>
              <w:t>新疆天新杰能新能源有限公司</w:t>
            </w:r>
          </w:p>
        </w:tc>
        <w:tc>
          <w:tcPr>
            <w:tcW w:w="2250" w:type="pct"/>
            <w:vAlign w:val="center"/>
          </w:tcPr>
          <w:p w14:paraId="0E09F8B8">
            <w:pPr>
              <w:pStyle w:val="35"/>
              <w:rPr>
                <w:rFonts w:hint="eastAsia" w:eastAsia="宋体"/>
                <w:lang w:val="en-US" w:eastAsia="zh-CN"/>
              </w:rPr>
            </w:pPr>
            <w:r>
              <w:rPr>
                <w:rFonts w:hint="eastAsia"/>
              </w:rPr>
              <w:t>租赁新疆龙凯图人防工程有限公司约1200平方米厂房，建设年产1600台逆变器与1000台直流断路器项目</w:t>
            </w:r>
            <w:r>
              <w:rPr>
                <w:rFonts w:hint="eastAsia"/>
                <w:lang w:eastAsia="zh-CN"/>
              </w:rPr>
              <w:t>。</w:t>
            </w:r>
          </w:p>
        </w:tc>
        <w:tc>
          <w:tcPr>
            <w:tcW w:w="809" w:type="pct"/>
            <w:vAlign w:val="center"/>
          </w:tcPr>
          <w:p w14:paraId="5549B55F">
            <w:pPr>
              <w:pStyle w:val="35"/>
              <w:jc w:val="center"/>
              <w:rPr>
                <w:rFonts w:hint="default"/>
                <w:lang w:val="en-US"/>
              </w:rPr>
            </w:pPr>
            <w:r>
              <w:rPr>
                <w:rFonts w:hint="eastAsia"/>
              </w:rPr>
              <w:t>202</w:t>
            </w:r>
            <w:r>
              <w:rPr>
                <w:rFonts w:hint="eastAsia"/>
                <w:lang w:val="en-US" w:eastAsia="zh-CN"/>
              </w:rPr>
              <w:t>5</w:t>
            </w:r>
            <w:r>
              <w:rPr>
                <w:rFonts w:hint="eastAsia"/>
                <w:lang w:eastAsia="zh-CN"/>
              </w:rPr>
              <w:t>.</w:t>
            </w:r>
            <w:r>
              <w:rPr>
                <w:rFonts w:hint="eastAsia"/>
                <w:lang w:val="en-US" w:eastAsia="zh-CN"/>
              </w:rPr>
              <w:t>04—</w:t>
            </w:r>
            <w:r>
              <w:rPr>
                <w:rFonts w:hint="eastAsia"/>
              </w:rPr>
              <w:t>2025</w:t>
            </w:r>
            <w:r>
              <w:rPr>
                <w:rFonts w:hint="eastAsia"/>
                <w:lang w:val="en-US" w:eastAsia="zh-CN"/>
              </w:rPr>
              <w:t>.08</w:t>
            </w:r>
          </w:p>
        </w:tc>
        <w:tc>
          <w:tcPr>
            <w:tcW w:w="458" w:type="pct"/>
            <w:vAlign w:val="center"/>
          </w:tcPr>
          <w:p w14:paraId="5BEB6ADD">
            <w:pPr>
              <w:pStyle w:val="35"/>
              <w:jc w:val="center"/>
              <w:rPr>
                <w:rFonts w:hint="default"/>
                <w:lang w:val="en-US" w:eastAsia="zh-CN"/>
              </w:rPr>
            </w:pPr>
            <w:r>
              <w:rPr>
                <w:rFonts w:hint="eastAsia"/>
                <w:lang w:val="en-US" w:eastAsia="zh-CN"/>
              </w:rPr>
              <w:t>0.30</w:t>
            </w:r>
          </w:p>
        </w:tc>
      </w:tr>
      <w:tr w14:paraId="5C9BC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1" w:hRule="atLeast"/>
        </w:trPr>
        <w:tc>
          <w:tcPr>
            <w:tcW w:w="360" w:type="pct"/>
            <w:vAlign w:val="center"/>
          </w:tcPr>
          <w:p w14:paraId="784E82B3">
            <w:pPr>
              <w:pStyle w:val="35"/>
              <w:numPr>
                <w:ilvl w:val="0"/>
                <w:numId w:val="3"/>
              </w:numPr>
              <w:ind w:left="454" w:hanging="454"/>
              <w:jc w:val="center"/>
              <w:rPr>
                <w:rFonts w:hint="eastAsia"/>
              </w:rPr>
            </w:pPr>
          </w:p>
        </w:tc>
        <w:tc>
          <w:tcPr>
            <w:tcW w:w="512" w:type="pct"/>
            <w:vAlign w:val="center"/>
          </w:tcPr>
          <w:p w14:paraId="4192D8FC">
            <w:pPr>
              <w:pStyle w:val="35"/>
              <w:jc w:val="center"/>
              <w:rPr>
                <w:rFonts w:hint="eastAsia"/>
              </w:rPr>
            </w:pPr>
            <w:r>
              <w:rPr>
                <w:rFonts w:hint="eastAsia"/>
              </w:rPr>
              <w:t>燕京农产品加工公司5万吨麦芽生产线智能化升级改造项目</w:t>
            </w:r>
          </w:p>
        </w:tc>
        <w:tc>
          <w:tcPr>
            <w:tcW w:w="608" w:type="pct"/>
            <w:vAlign w:val="center"/>
          </w:tcPr>
          <w:p w14:paraId="5442DE03">
            <w:pPr>
              <w:pStyle w:val="35"/>
              <w:jc w:val="center"/>
              <w:rPr>
                <w:rFonts w:hint="eastAsia"/>
                <w:lang w:val="en-US" w:eastAsia="zh-CN"/>
              </w:rPr>
            </w:pPr>
            <w:r>
              <w:rPr>
                <w:rFonts w:hint="eastAsia"/>
                <w:lang w:val="en-US" w:eastAsia="zh-CN"/>
              </w:rPr>
              <w:t>新疆燕京农产品开发有限公司</w:t>
            </w:r>
          </w:p>
        </w:tc>
        <w:tc>
          <w:tcPr>
            <w:tcW w:w="2250" w:type="pct"/>
            <w:vAlign w:val="center"/>
          </w:tcPr>
          <w:p w14:paraId="0D3182B4">
            <w:pPr>
              <w:pStyle w:val="35"/>
              <w:rPr>
                <w:rFonts w:hint="eastAsia"/>
              </w:rPr>
            </w:pPr>
            <w:r>
              <w:rPr>
                <w:rFonts w:hint="eastAsia"/>
              </w:rPr>
              <w:t>对现有麦芽生产线进行智能化升级改造，淘汰圆筒筛、振动筛、回转筛、投料埋刮板机等老旧设备，更换智能化控制系统、色选机及脉冲布袋除尘系统、去石机及配套布袋除尘系统、旋振筛及配套循环风选机、二氧化碳排放系统等先进高效生产设备。</w:t>
            </w:r>
          </w:p>
        </w:tc>
        <w:tc>
          <w:tcPr>
            <w:tcW w:w="809" w:type="pct"/>
            <w:vAlign w:val="center"/>
          </w:tcPr>
          <w:p w14:paraId="1709BEB9">
            <w:pPr>
              <w:pStyle w:val="35"/>
              <w:jc w:val="center"/>
              <w:rPr>
                <w:rFonts w:hint="eastAsia"/>
              </w:rPr>
            </w:pPr>
            <w:r>
              <w:rPr>
                <w:rFonts w:hint="eastAsia"/>
              </w:rPr>
              <w:t>2025.03—2026.12</w:t>
            </w:r>
          </w:p>
        </w:tc>
        <w:tc>
          <w:tcPr>
            <w:tcW w:w="458" w:type="pct"/>
            <w:vAlign w:val="center"/>
          </w:tcPr>
          <w:p w14:paraId="789EF4BD">
            <w:pPr>
              <w:pStyle w:val="35"/>
              <w:jc w:val="center"/>
              <w:rPr>
                <w:rFonts w:hint="eastAsia"/>
                <w:lang w:val="en-US" w:eastAsia="zh-CN"/>
              </w:rPr>
            </w:pPr>
            <w:r>
              <w:rPr>
                <w:rFonts w:hint="eastAsia"/>
                <w:lang w:val="en-US" w:eastAsia="zh-CN"/>
              </w:rPr>
              <w:t>0.25</w:t>
            </w:r>
          </w:p>
        </w:tc>
      </w:tr>
      <w:tr w14:paraId="34DBF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2" w:hRule="atLeast"/>
        </w:trPr>
        <w:tc>
          <w:tcPr>
            <w:tcW w:w="360" w:type="pct"/>
            <w:vAlign w:val="center"/>
          </w:tcPr>
          <w:p w14:paraId="2C600327">
            <w:pPr>
              <w:pStyle w:val="35"/>
              <w:numPr>
                <w:ilvl w:val="0"/>
                <w:numId w:val="3"/>
              </w:numPr>
              <w:ind w:left="454" w:hanging="454"/>
              <w:jc w:val="center"/>
              <w:rPr>
                <w:rFonts w:hint="eastAsia"/>
              </w:rPr>
            </w:pPr>
          </w:p>
        </w:tc>
        <w:tc>
          <w:tcPr>
            <w:tcW w:w="512" w:type="pct"/>
            <w:vAlign w:val="center"/>
          </w:tcPr>
          <w:p w14:paraId="43BCB623">
            <w:pPr>
              <w:pStyle w:val="35"/>
              <w:jc w:val="center"/>
              <w:rPr>
                <w:rFonts w:hint="eastAsia"/>
              </w:rPr>
            </w:pPr>
            <w:r>
              <w:rPr>
                <w:rFonts w:hint="eastAsia"/>
              </w:rPr>
              <w:t>新疆恒安储能有限公司1GWh锌溴液流电池生产制造基地项目</w:t>
            </w:r>
          </w:p>
        </w:tc>
        <w:tc>
          <w:tcPr>
            <w:tcW w:w="608" w:type="pct"/>
            <w:vAlign w:val="center"/>
          </w:tcPr>
          <w:p w14:paraId="1487C441">
            <w:pPr>
              <w:pStyle w:val="35"/>
              <w:jc w:val="center"/>
              <w:rPr>
                <w:rFonts w:hint="eastAsia"/>
                <w:lang w:val="en-US" w:eastAsia="zh-CN"/>
              </w:rPr>
            </w:pPr>
            <w:r>
              <w:rPr>
                <w:rFonts w:hint="eastAsia"/>
                <w:lang w:val="en-US" w:eastAsia="zh-CN"/>
              </w:rPr>
              <w:t>新疆恒安储能有限公司</w:t>
            </w:r>
          </w:p>
        </w:tc>
        <w:tc>
          <w:tcPr>
            <w:tcW w:w="2250" w:type="pct"/>
            <w:vAlign w:val="center"/>
          </w:tcPr>
          <w:p w14:paraId="7B0D19A9">
            <w:pPr>
              <w:pStyle w:val="35"/>
              <w:rPr>
                <w:rFonts w:hint="eastAsia"/>
              </w:rPr>
            </w:pPr>
            <w:r>
              <w:rPr>
                <w:rFonts w:hint="eastAsia"/>
              </w:rPr>
              <w:t>租赁约35000平方米厂房，建设1GWh锌溴液流电池生产制造基地项目，包括2条锌溴液流电池生产线。</w:t>
            </w:r>
          </w:p>
        </w:tc>
        <w:tc>
          <w:tcPr>
            <w:tcW w:w="809" w:type="pct"/>
            <w:vAlign w:val="center"/>
          </w:tcPr>
          <w:p w14:paraId="6CA09619">
            <w:pPr>
              <w:pStyle w:val="35"/>
              <w:jc w:val="center"/>
              <w:rPr>
                <w:rFonts w:hint="eastAsia"/>
              </w:rPr>
            </w:pPr>
            <w:r>
              <w:rPr>
                <w:rFonts w:hint="eastAsia"/>
              </w:rPr>
              <w:t>2025.06—2027.12</w:t>
            </w:r>
          </w:p>
        </w:tc>
        <w:tc>
          <w:tcPr>
            <w:tcW w:w="458" w:type="pct"/>
            <w:vAlign w:val="center"/>
          </w:tcPr>
          <w:p w14:paraId="6CC85058">
            <w:pPr>
              <w:pStyle w:val="35"/>
              <w:jc w:val="center"/>
              <w:rPr>
                <w:rFonts w:hint="eastAsia"/>
                <w:lang w:val="en-US" w:eastAsia="zh-CN"/>
              </w:rPr>
            </w:pPr>
            <w:r>
              <w:rPr>
                <w:rFonts w:hint="eastAsia"/>
                <w:lang w:val="en-US" w:eastAsia="zh-CN"/>
              </w:rPr>
              <w:t>8.5</w:t>
            </w:r>
          </w:p>
        </w:tc>
      </w:tr>
      <w:tr w14:paraId="46225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60" w:type="pct"/>
            <w:vAlign w:val="center"/>
          </w:tcPr>
          <w:p w14:paraId="77A2A766">
            <w:pPr>
              <w:pStyle w:val="35"/>
              <w:numPr>
                <w:ilvl w:val="-1"/>
                <w:numId w:val="0"/>
              </w:numPr>
              <w:tabs>
                <w:tab w:val="left" w:pos="0"/>
              </w:tabs>
              <w:ind w:left="0" w:firstLine="0"/>
              <w:jc w:val="center"/>
              <w:rPr>
                <w:rFonts w:hint="eastAsia"/>
              </w:rPr>
            </w:pPr>
            <w:r>
              <w:rPr>
                <w:rFonts w:hint="eastAsia"/>
                <w:lang w:eastAsia="zh-CN"/>
              </w:rPr>
              <w:t>（</w:t>
            </w:r>
            <w:r>
              <w:rPr>
                <w:rFonts w:hint="eastAsia"/>
                <w:lang w:val="en-US" w:eastAsia="zh-CN"/>
              </w:rPr>
              <w:t>二</w:t>
            </w:r>
            <w:r>
              <w:rPr>
                <w:rFonts w:hint="eastAsia"/>
                <w:lang w:eastAsia="zh-CN"/>
              </w:rPr>
              <w:t>）</w:t>
            </w:r>
          </w:p>
        </w:tc>
        <w:tc>
          <w:tcPr>
            <w:tcW w:w="4180" w:type="pct"/>
            <w:gridSpan w:val="4"/>
            <w:vAlign w:val="center"/>
          </w:tcPr>
          <w:p w14:paraId="6BBDEBFA">
            <w:pPr>
              <w:pStyle w:val="35"/>
              <w:jc w:val="center"/>
              <w:rPr>
                <w:rFonts w:hint="eastAsia"/>
              </w:rPr>
            </w:pPr>
            <w:r>
              <w:rPr>
                <w:rFonts w:hint="eastAsia"/>
              </w:rPr>
              <w:t>能源基础设施（</w:t>
            </w:r>
            <w:r>
              <w:rPr>
                <w:rFonts w:hint="eastAsia"/>
                <w:lang w:val="en-US" w:eastAsia="zh-CN"/>
              </w:rPr>
              <w:t>3</w:t>
            </w:r>
            <w:r>
              <w:rPr>
                <w:rFonts w:hint="eastAsia"/>
              </w:rPr>
              <w:t>）</w:t>
            </w:r>
          </w:p>
        </w:tc>
        <w:tc>
          <w:tcPr>
            <w:tcW w:w="458" w:type="pct"/>
            <w:vAlign w:val="center"/>
          </w:tcPr>
          <w:p w14:paraId="7921501D">
            <w:pPr>
              <w:pStyle w:val="35"/>
              <w:jc w:val="center"/>
              <w:rPr>
                <w:rFonts w:hint="default" w:eastAsia="宋体"/>
                <w:lang w:val="en-US" w:eastAsia="zh-CN"/>
              </w:rPr>
            </w:pPr>
            <w:r>
              <w:rPr>
                <w:rFonts w:hint="eastAsia"/>
                <w:lang w:val="en-US" w:eastAsia="zh-CN"/>
              </w:rPr>
              <w:t>3.17</w:t>
            </w:r>
          </w:p>
        </w:tc>
      </w:tr>
      <w:tr w14:paraId="7483E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60" w:type="pct"/>
            <w:vAlign w:val="center"/>
          </w:tcPr>
          <w:p w14:paraId="04703681">
            <w:pPr>
              <w:pStyle w:val="35"/>
              <w:numPr>
                <w:ilvl w:val="0"/>
                <w:numId w:val="3"/>
              </w:numPr>
              <w:ind w:left="454" w:hanging="454"/>
              <w:jc w:val="center"/>
            </w:pPr>
          </w:p>
        </w:tc>
        <w:tc>
          <w:tcPr>
            <w:tcW w:w="512" w:type="pct"/>
            <w:vAlign w:val="center"/>
          </w:tcPr>
          <w:p w14:paraId="444E1819">
            <w:pPr>
              <w:pStyle w:val="35"/>
              <w:jc w:val="center"/>
            </w:pPr>
            <w:r>
              <w:rPr>
                <w:rFonts w:hint="eastAsia"/>
              </w:rPr>
              <w:t>新疆天采能源科技有限公司10GWh先进储能系统产业园（一期）</w:t>
            </w:r>
          </w:p>
        </w:tc>
        <w:tc>
          <w:tcPr>
            <w:tcW w:w="608" w:type="pct"/>
            <w:vAlign w:val="center"/>
          </w:tcPr>
          <w:p w14:paraId="3A5E9CDC">
            <w:pPr>
              <w:pStyle w:val="35"/>
              <w:jc w:val="center"/>
            </w:pPr>
            <w:r>
              <w:rPr>
                <w:rFonts w:hint="eastAsia"/>
              </w:rPr>
              <w:t>新疆天采能源科技有限公司</w:t>
            </w:r>
          </w:p>
        </w:tc>
        <w:tc>
          <w:tcPr>
            <w:tcW w:w="2250" w:type="pct"/>
            <w:vAlign w:val="center"/>
          </w:tcPr>
          <w:p w14:paraId="384A117F">
            <w:pPr>
              <w:pStyle w:val="35"/>
              <w:rPr>
                <w:rFonts w:hint="eastAsia"/>
                <w:lang w:eastAsia="zh-CN"/>
              </w:rPr>
            </w:pPr>
            <w:r>
              <w:rPr>
                <w:rFonts w:hint="eastAsia"/>
              </w:rPr>
              <w:t>总建设规模10GWh锂电池储能系统，一期建设2GWh锂电池储能系统</w:t>
            </w:r>
            <w:r>
              <w:rPr>
                <w:rFonts w:hint="eastAsia"/>
                <w:lang w:eastAsia="zh-CN"/>
              </w:rPr>
              <w:t>。</w:t>
            </w:r>
          </w:p>
          <w:p w14:paraId="61792812">
            <w:pPr>
              <w:pStyle w:val="35"/>
              <w:rPr>
                <w:rFonts w:hint="eastAsia"/>
              </w:rPr>
            </w:pPr>
            <w:r>
              <w:rPr>
                <w:rFonts w:hint="eastAsia"/>
              </w:rPr>
              <w:t>建设内容：（1）主要生产系统：建设锂电池先进储能系统，配套锂电池储能系统集成、储能集装箱、磷酸铁锂储能电池Pack+模组、储能电池Pack壳体。（2）辅助生产系统：建设给排水系统、供配电系统、采暖、通风系统、综合楼、食堂等。（3）附属生产系统：建设控制系统等。</w:t>
            </w:r>
          </w:p>
          <w:p w14:paraId="3E1D87B0">
            <w:pPr>
              <w:pStyle w:val="35"/>
              <w:rPr>
                <w:rFonts w:hint="eastAsia" w:eastAsia="宋体"/>
                <w:lang w:eastAsia="zh-CN"/>
              </w:rPr>
            </w:pPr>
            <w:r>
              <w:rPr>
                <w:rFonts w:hint="eastAsia"/>
                <w:lang w:val="en-US" w:eastAsia="zh-CN"/>
              </w:rPr>
              <w:t>预期成效：为石河子经开区带来新的经济增长点，推动新能源产业快速发展，为</w:t>
            </w:r>
            <w:r>
              <w:rPr>
                <w:rFonts w:hint="eastAsia"/>
              </w:rPr>
              <w:t>加快推进师市新质生产力、能源数智化运营建设作出积极贡献</w:t>
            </w:r>
            <w:r>
              <w:rPr>
                <w:rFonts w:hint="eastAsia"/>
                <w:lang w:eastAsia="zh-CN"/>
              </w:rPr>
              <w:t>。</w:t>
            </w:r>
          </w:p>
        </w:tc>
        <w:tc>
          <w:tcPr>
            <w:tcW w:w="809" w:type="pct"/>
            <w:vAlign w:val="center"/>
          </w:tcPr>
          <w:p w14:paraId="6E438E89">
            <w:pPr>
              <w:pStyle w:val="35"/>
              <w:jc w:val="center"/>
              <w:rPr>
                <w:rFonts w:hint="default"/>
                <w:lang w:val="en-US"/>
              </w:rPr>
            </w:pPr>
            <w:r>
              <w:rPr>
                <w:rFonts w:hint="eastAsia"/>
              </w:rPr>
              <w:t>202</w:t>
            </w:r>
            <w:r>
              <w:rPr>
                <w:rFonts w:hint="eastAsia"/>
                <w:lang w:val="en-US" w:eastAsia="zh-CN"/>
              </w:rPr>
              <w:t>4</w:t>
            </w:r>
            <w:r>
              <w:rPr>
                <w:rFonts w:hint="eastAsia"/>
                <w:lang w:eastAsia="zh-CN"/>
              </w:rPr>
              <w:t>.</w:t>
            </w:r>
            <w:r>
              <w:rPr>
                <w:rFonts w:hint="eastAsia"/>
                <w:lang w:val="en-US" w:eastAsia="zh-CN"/>
              </w:rPr>
              <w:t>07—</w:t>
            </w:r>
            <w:r>
              <w:rPr>
                <w:rFonts w:hint="eastAsia"/>
              </w:rPr>
              <w:t>2025</w:t>
            </w:r>
            <w:r>
              <w:rPr>
                <w:rFonts w:hint="eastAsia"/>
                <w:lang w:val="en-US" w:eastAsia="zh-CN"/>
              </w:rPr>
              <w:t>.07</w:t>
            </w:r>
          </w:p>
        </w:tc>
        <w:tc>
          <w:tcPr>
            <w:tcW w:w="458" w:type="pct"/>
            <w:vAlign w:val="center"/>
          </w:tcPr>
          <w:p w14:paraId="21120E41">
            <w:pPr>
              <w:pStyle w:val="35"/>
              <w:jc w:val="center"/>
            </w:pPr>
            <w:r>
              <w:rPr>
                <w:rFonts w:hint="eastAsia"/>
              </w:rPr>
              <w:t>1</w:t>
            </w:r>
            <w:r>
              <w:rPr>
                <w:rFonts w:hint="eastAsia"/>
                <w:lang w:eastAsia="zh-CN"/>
              </w:rPr>
              <w:t>.</w:t>
            </w:r>
            <w:r>
              <w:rPr>
                <w:rFonts w:hint="eastAsia"/>
              </w:rPr>
              <w:t>95</w:t>
            </w:r>
          </w:p>
        </w:tc>
      </w:tr>
      <w:tr w14:paraId="1EC15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60" w:type="pct"/>
            <w:vAlign w:val="center"/>
          </w:tcPr>
          <w:p w14:paraId="3DC81405">
            <w:pPr>
              <w:pStyle w:val="35"/>
              <w:numPr>
                <w:ilvl w:val="0"/>
                <w:numId w:val="3"/>
              </w:numPr>
              <w:ind w:left="454" w:hanging="454"/>
              <w:jc w:val="center"/>
              <w:rPr>
                <w:rFonts w:hint="eastAsia"/>
                <w:lang w:val="en-US" w:eastAsia="zh-CN"/>
              </w:rPr>
            </w:pPr>
          </w:p>
        </w:tc>
        <w:tc>
          <w:tcPr>
            <w:tcW w:w="512" w:type="pct"/>
            <w:vAlign w:val="center"/>
          </w:tcPr>
          <w:p w14:paraId="5207ECCB">
            <w:pPr>
              <w:pStyle w:val="35"/>
              <w:jc w:val="center"/>
              <w:rPr>
                <w:rFonts w:hint="eastAsia"/>
              </w:rPr>
            </w:pPr>
            <w:r>
              <w:rPr>
                <w:rFonts w:hint="eastAsia"/>
              </w:rPr>
              <w:t>天瑞能源煤电机组耦合新能源“灵活性+低碳性”改造项目</w:t>
            </w:r>
          </w:p>
        </w:tc>
        <w:tc>
          <w:tcPr>
            <w:tcW w:w="608" w:type="pct"/>
            <w:vAlign w:val="center"/>
          </w:tcPr>
          <w:p w14:paraId="285302C1">
            <w:pPr>
              <w:pStyle w:val="35"/>
              <w:jc w:val="center"/>
              <w:rPr>
                <w:rFonts w:hint="eastAsia"/>
              </w:rPr>
            </w:pPr>
            <w:r>
              <w:rPr>
                <w:rFonts w:hint="eastAsia"/>
              </w:rPr>
              <w:t>石河子市天瑞能源有限公司</w:t>
            </w:r>
          </w:p>
        </w:tc>
        <w:tc>
          <w:tcPr>
            <w:tcW w:w="2250" w:type="pct"/>
            <w:vAlign w:val="center"/>
          </w:tcPr>
          <w:p w14:paraId="712E8A2F">
            <w:pPr>
              <w:pStyle w:val="35"/>
              <w:rPr>
                <w:rFonts w:hint="eastAsia" w:eastAsia="宋体"/>
                <w:lang w:val="en-US" w:eastAsia="zh-CN"/>
              </w:rPr>
            </w:pPr>
            <w:r>
              <w:rPr>
                <w:rFonts w:hint="eastAsia"/>
              </w:rPr>
              <w:t>石河子市天瑞能源4套（3#、4#、9#、10#）发电机组用能设备更新改造项目包括给水泵液力耦合器节能改造、真空泵节能改造、锅炉炉底柔性密封改造、锅炉空预器节能升级改造、空冷岛温度场升级改造和脱硝催化剂升级改造。</w:t>
            </w:r>
            <w:r>
              <w:rPr>
                <w:rFonts w:hint="eastAsia"/>
                <w:lang w:val="en-US" w:eastAsia="zh-CN"/>
              </w:rPr>
              <w:t>项目实施后，</w:t>
            </w:r>
            <w:r>
              <w:rPr>
                <w:rFonts w:hint="eastAsia"/>
              </w:rPr>
              <w:t>年节约4.5万吨标煤</w:t>
            </w:r>
            <w:r>
              <w:rPr>
                <w:rFonts w:hint="eastAsia"/>
                <w:lang w:eastAsia="zh-CN"/>
              </w:rPr>
              <w:t>。</w:t>
            </w:r>
          </w:p>
        </w:tc>
        <w:tc>
          <w:tcPr>
            <w:tcW w:w="809" w:type="pct"/>
            <w:vAlign w:val="center"/>
          </w:tcPr>
          <w:p w14:paraId="1D2C35F8">
            <w:pPr>
              <w:pStyle w:val="35"/>
              <w:jc w:val="center"/>
              <w:rPr>
                <w:rFonts w:hint="default"/>
                <w:lang w:val="en-US"/>
              </w:rPr>
            </w:pPr>
            <w:r>
              <w:rPr>
                <w:rFonts w:hint="eastAsia"/>
              </w:rPr>
              <w:t>202</w:t>
            </w:r>
            <w:r>
              <w:rPr>
                <w:rFonts w:hint="eastAsia"/>
                <w:lang w:val="en-US" w:eastAsia="zh-CN"/>
              </w:rPr>
              <w:t>5</w:t>
            </w:r>
            <w:r>
              <w:rPr>
                <w:rFonts w:hint="eastAsia"/>
                <w:lang w:eastAsia="zh-CN"/>
              </w:rPr>
              <w:t>.</w:t>
            </w:r>
            <w:r>
              <w:rPr>
                <w:rFonts w:hint="eastAsia"/>
                <w:lang w:val="en-US" w:eastAsia="zh-CN"/>
              </w:rPr>
              <w:t>02—</w:t>
            </w:r>
            <w:r>
              <w:rPr>
                <w:rFonts w:hint="eastAsia"/>
              </w:rPr>
              <w:t>202</w:t>
            </w:r>
            <w:r>
              <w:rPr>
                <w:rFonts w:hint="eastAsia"/>
                <w:lang w:val="en-US" w:eastAsia="zh-CN"/>
              </w:rPr>
              <w:t>6.12</w:t>
            </w:r>
          </w:p>
        </w:tc>
        <w:tc>
          <w:tcPr>
            <w:tcW w:w="458" w:type="pct"/>
            <w:vAlign w:val="center"/>
          </w:tcPr>
          <w:p w14:paraId="2E19BBF9">
            <w:pPr>
              <w:pStyle w:val="35"/>
              <w:jc w:val="center"/>
              <w:rPr>
                <w:rFonts w:hint="default"/>
                <w:lang w:val="en-US" w:eastAsia="zh-CN"/>
              </w:rPr>
            </w:pPr>
            <w:r>
              <w:rPr>
                <w:rFonts w:hint="eastAsia"/>
                <w:lang w:val="en-US" w:eastAsia="zh-CN"/>
              </w:rPr>
              <w:t>1.08</w:t>
            </w:r>
          </w:p>
        </w:tc>
      </w:tr>
      <w:tr w14:paraId="3DCC4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60" w:type="pct"/>
            <w:vAlign w:val="center"/>
          </w:tcPr>
          <w:p w14:paraId="68B6FFA0">
            <w:pPr>
              <w:pStyle w:val="35"/>
              <w:numPr>
                <w:ilvl w:val="0"/>
                <w:numId w:val="3"/>
              </w:numPr>
              <w:ind w:left="454" w:hanging="454"/>
              <w:jc w:val="center"/>
              <w:rPr>
                <w:rFonts w:hint="eastAsia" w:eastAsia="宋体"/>
                <w:lang w:val="en-US" w:eastAsia="zh-CN"/>
              </w:rPr>
            </w:pPr>
          </w:p>
        </w:tc>
        <w:tc>
          <w:tcPr>
            <w:tcW w:w="512" w:type="pct"/>
            <w:vAlign w:val="center"/>
          </w:tcPr>
          <w:p w14:paraId="2089B477">
            <w:pPr>
              <w:pStyle w:val="35"/>
              <w:jc w:val="center"/>
            </w:pPr>
            <w:r>
              <w:rPr>
                <w:rFonts w:hint="eastAsia"/>
              </w:rPr>
              <w:t>石河子市西部宁新碳素有限公司清洁能源替代改造工程项目</w:t>
            </w:r>
          </w:p>
        </w:tc>
        <w:tc>
          <w:tcPr>
            <w:tcW w:w="608" w:type="pct"/>
            <w:vAlign w:val="center"/>
          </w:tcPr>
          <w:p w14:paraId="7AEC5804">
            <w:pPr>
              <w:pStyle w:val="35"/>
              <w:jc w:val="center"/>
            </w:pPr>
            <w:r>
              <w:rPr>
                <w:rFonts w:hint="eastAsia"/>
              </w:rPr>
              <w:t>新疆西部合盛硅业有限公司</w:t>
            </w:r>
          </w:p>
        </w:tc>
        <w:tc>
          <w:tcPr>
            <w:tcW w:w="2250" w:type="pct"/>
            <w:vAlign w:val="center"/>
          </w:tcPr>
          <w:p w14:paraId="10F4650E">
            <w:pPr>
              <w:pStyle w:val="35"/>
              <w:rPr>
                <w:rFonts w:hint="eastAsia"/>
                <w:lang w:eastAsia="zh-CN"/>
              </w:rPr>
            </w:pPr>
            <w:r>
              <w:rPr>
                <w:rFonts w:hint="eastAsia"/>
                <w:lang w:val="en-US" w:eastAsia="zh-CN"/>
              </w:rPr>
              <w:t>建设内容：</w:t>
            </w:r>
            <w:r>
              <w:rPr>
                <w:rFonts w:hint="eastAsia"/>
              </w:rPr>
              <w:t>新增一条天然气管线，天然气减压系统，天然气报警系统，新增8套天然气燃烧系统、焙烧车间天然气管线</w:t>
            </w:r>
            <w:r>
              <w:rPr>
                <w:rFonts w:hint="eastAsia"/>
                <w:lang w:eastAsia="zh-CN"/>
              </w:rPr>
              <w:t>。</w:t>
            </w:r>
          </w:p>
          <w:p w14:paraId="03C7B31F">
            <w:pPr>
              <w:pStyle w:val="35"/>
              <w:rPr>
                <w:rFonts w:hint="default"/>
                <w:lang w:val="en-US" w:eastAsia="zh-CN"/>
              </w:rPr>
            </w:pPr>
            <w:r>
              <w:rPr>
                <w:rFonts w:hint="eastAsia"/>
                <w:lang w:val="en-US" w:eastAsia="zh-CN"/>
              </w:rPr>
              <w:t>预期成效：系统投运后，预计每年可以减少27000吨标煤使用。</w:t>
            </w:r>
          </w:p>
        </w:tc>
        <w:tc>
          <w:tcPr>
            <w:tcW w:w="809" w:type="pct"/>
            <w:vAlign w:val="center"/>
          </w:tcPr>
          <w:p w14:paraId="23B1D007">
            <w:pPr>
              <w:pStyle w:val="35"/>
              <w:jc w:val="center"/>
            </w:pPr>
            <w:r>
              <w:rPr>
                <w:rFonts w:hint="eastAsia"/>
              </w:rPr>
              <w:t>2023</w:t>
            </w:r>
            <w:r>
              <w:rPr>
                <w:rFonts w:hint="eastAsia"/>
                <w:lang w:eastAsia="zh-CN"/>
              </w:rPr>
              <w:t>.</w:t>
            </w:r>
            <w:r>
              <w:rPr>
                <w:rFonts w:hint="eastAsia"/>
                <w:lang w:val="en-US" w:eastAsia="zh-CN"/>
              </w:rPr>
              <w:t>10—</w:t>
            </w:r>
            <w:r>
              <w:rPr>
                <w:rFonts w:hint="eastAsia"/>
              </w:rPr>
              <w:t>2025</w:t>
            </w:r>
            <w:r>
              <w:rPr>
                <w:rFonts w:hint="eastAsia"/>
                <w:lang w:val="en-US" w:eastAsia="zh-CN"/>
              </w:rPr>
              <w:t>.10</w:t>
            </w:r>
          </w:p>
        </w:tc>
        <w:tc>
          <w:tcPr>
            <w:tcW w:w="458" w:type="pct"/>
            <w:vAlign w:val="center"/>
          </w:tcPr>
          <w:p w14:paraId="7E3BC2F9">
            <w:pPr>
              <w:pStyle w:val="35"/>
              <w:jc w:val="center"/>
              <w:rPr>
                <w:rFonts w:hint="default" w:eastAsia="宋体"/>
                <w:lang w:val="en-US" w:eastAsia="zh-CN"/>
              </w:rPr>
            </w:pPr>
            <w:r>
              <w:rPr>
                <w:rFonts w:hint="eastAsia"/>
                <w:lang w:val="en-US" w:eastAsia="zh-CN"/>
              </w:rPr>
              <w:t>0.14</w:t>
            </w:r>
          </w:p>
        </w:tc>
      </w:tr>
      <w:tr w14:paraId="0420E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60" w:type="pct"/>
            <w:vAlign w:val="center"/>
          </w:tcPr>
          <w:p w14:paraId="7A35C2B1">
            <w:pPr>
              <w:pStyle w:val="35"/>
              <w:numPr>
                <w:ilvl w:val="-1"/>
                <w:numId w:val="0"/>
              </w:numPr>
              <w:tabs>
                <w:tab w:val="left" w:pos="0"/>
              </w:tabs>
              <w:ind w:left="0"/>
              <w:jc w:val="center"/>
            </w:pPr>
            <w:r>
              <w:rPr>
                <w:rFonts w:hint="eastAsia"/>
                <w:lang w:eastAsia="zh-CN"/>
              </w:rPr>
              <w:t>（</w:t>
            </w:r>
            <w:r>
              <w:rPr>
                <w:rFonts w:hint="eastAsia"/>
                <w:lang w:val="en-US" w:eastAsia="zh-CN"/>
              </w:rPr>
              <w:t>三</w:t>
            </w:r>
            <w:r>
              <w:rPr>
                <w:rFonts w:hint="eastAsia"/>
                <w:lang w:eastAsia="zh-CN"/>
              </w:rPr>
              <w:t>）</w:t>
            </w:r>
          </w:p>
        </w:tc>
        <w:tc>
          <w:tcPr>
            <w:tcW w:w="4180" w:type="pct"/>
            <w:gridSpan w:val="4"/>
            <w:vAlign w:val="center"/>
          </w:tcPr>
          <w:p w14:paraId="314B84CD">
            <w:pPr>
              <w:pStyle w:val="35"/>
              <w:jc w:val="center"/>
            </w:pPr>
            <w:r>
              <w:rPr>
                <w:rFonts w:hint="eastAsia"/>
              </w:rPr>
              <w:t>节能降碳改造（</w:t>
            </w:r>
            <w:r>
              <w:rPr>
                <w:rFonts w:hint="eastAsia"/>
                <w:lang w:val="en-US" w:eastAsia="zh-CN"/>
              </w:rPr>
              <w:t>13</w:t>
            </w:r>
            <w:r>
              <w:rPr>
                <w:rFonts w:hint="eastAsia"/>
              </w:rPr>
              <w:t>）</w:t>
            </w:r>
          </w:p>
        </w:tc>
        <w:tc>
          <w:tcPr>
            <w:tcW w:w="458" w:type="pct"/>
            <w:vAlign w:val="center"/>
          </w:tcPr>
          <w:p w14:paraId="3F3BFBCC">
            <w:pPr>
              <w:pStyle w:val="35"/>
              <w:jc w:val="center"/>
            </w:pPr>
            <w:r>
              <w:rPr>
                <w:rFonts w:hint="eastAsia"/>
                <w:lang w:val="en-US" w:eastAsia="zh-CN"/>
              </w:rPr>
              <w:t>46.17</w:t>
            </w:r>
          </w:p>
        </w:tc>
      </w:tr>
      <w:tr w14:paraId="5051D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60" w:type="pct"/>
            <w:vAlign w:val="center"/>
          </w:tcPr>
          <w:p w14:paraId="4BF4FB4E">
            <w:pPr>
              <w:pStyle w:val="35"/>
              <w:numPr>
                <w:ilvl w:val="0"/>
                <w:numId w:val="3"/>
              </w:numPr>
              <w:ind w:left="454" w:hanging="454"/>
              <w:jc w:val="center"/>
              <w:rPr>
                <w:rFonts w:hint="eastAsia" w:eastAsia="宋体"/>
                <w:lang w:val="en-US" w:eastAsia="zh-CN"/>
              </w:rPr>
            </w:pPr>
          </w:p>
        </w:tc>
        <w:tc>
          <w:tcPr>
            <w:tcW w:w="512" w:type="pct"/>
            <w:vAlign w:val="center"/>
          </w:tcPr>
          <w:p w14:paraId="0EA3CA3D">
            <w:pPr>
              <w:pStyle w:val="35"/>
              <w:ind w:firstLine="0" w:firstLineChars="0"/>
              <w:jc w:val="center"/>
              <w:rPr>
                <w:rFonts w:hint="default"/>
                <w:lang w:val="en-US"/>
              </w:rPr>
            </w:pPr>
            <w:r>
              <w:rPr>
                <w:rFonts w:hint="eastAsia"/>
                <w:lang w:val="en-US" w:eastAsia="zh-CN"/>
              </w:rPr>
              <w:t>天山铝业新型节能降碳铝电解槽技术优化及应用项目</w:t>
            </w:r>
          </w:p>
        </w:tc>
        <w:tc>
          <w:tcPr>
            <w:tcW w:w="608" w:type="pct"/>
            <w:vAlign w:val="center"/>
          </w:tcPr>
          <w:p w14:paraId="430F54BE">
            <w:pPr>
              <w:pStyle w:val="35"/>
              <w:ind w:firstLine="0" w:firstLineChars="0"/>
              <w:jc w:val="center"/>
              <w:rPr>
                <w:rFonts w:hint="eastAsia"/>
              </w:rPr>
            </w:pPr>
            <w:r>
              <w:rPr>
                <w:rFonts w:hint="eastAsia"/>
                <w:lang w:val="en-US" w:eastAsia="zh-CN"/>
              </w:rPr>
              <w:t>新疆生产建设兵团第八师天山铝业有限公司</w:t>
            </w:r>
          </w:p>
        </w:tc>
        <w:tc>
          <w:tcPr>
            <w:tcW w:w="2250" w:type="pct"/>
            <w:vAlign w:val="center"/>
          </w:tcPr>
          <w:p w14:paraId="32FAA9D9">
            <w:pPr>
              <w:pStyle w:val="35"/>
              <w:ind w:firstLine="0" w:firstLineChars="0"/>
              <w:rPr>
                <w:rFonts w:hint="eastAsia"/>
                <w:lang w:val="en-US" w:eastAsia="zh-CN"/>
              </w:rPr>
            </w:pPr>
            <w:r>
              <w:rPr>
                <w:rFonts w:hint="eastAsia"/>
              </w:rPr>
              <w:t>项目购置磷生铁浇筑阴极钢棒预热装置，应用新型铝电解槽节能技术，对天山铝业750台电解槽400kA级电解槽实施节能升级改造。项目改造后，预计年节能量为40310吨标准煤。</w:t>
            </w:r>
          </w:p>
        </w:tc>
        <w:tc>
          <w:tcPr>
            <w:tcW w:w="809" w:type="pct"/>
            <w:vAlign w:val="center"/>
          </w:tcPr>
          <w:p w14:paraId="7EB6B659">
            <w:pPr>
              <w:pStyle w:val="35"/>
              <w:ind w:firstLine="0" w:firstLineChars="0"/>
              <w:jc w:val="center"/>
              <w:rPr>
                <w:rFonts w:hint="default"/>
                <w:lang w:val="en-US"/>
              </w:rPr>
            </w:pPr>
            <w:r>
              <w:rPr>
                <w:rFonts w:hint="eastAsia"/>
              </w:rPr>
              <w:t>202</w:t>
            </w:r>
            <w:r>
              <w:rPr>
                <w:rFonts w:hint="eastAsia"/>
                <w:lang w:val="en-US" w:eastAsia="zh-CN"/>
              </w:rPr>
              <w:t>5.01—</w:t>
            </w:r>
            <w:r>
              <w:rPr>
                <w:rFonts w:hint="eastAsia"/>
              </w:rPr>
              <w:t>20</w:t>
            </w:r>
            <w:r>
              <w:rPr>
                <w:rFonts w:hint="eastAsia"/>
                <w:lang w:val="en-US" w:eastAsia="zh-CN"/>
              </w:rPr>
              <w:t>29.12</w:t>
            </w:r>
          </w:p>
        </w:tc>
        <w:tc>
          <w:tcPr>
            <w:tcW w:w="458" w:type="pct"/>
            <w:vAlign w:val="center"/>
          </w:tcPr>
          <w:p w14:paraId="27F921DE">
            <w:pPr>
              <w:pStyle w:val="35"/>
              <w:ind w:firstLine="0" w:firstLineChars="0"/>
              <w:jc w:val="center"/>
              <w:rPr>
                <w:rFonts w:hint="eastAsia"/>
                <w:lang w:val="en-US" w:eastAsia="zh-CN"/>
              </w:rPr>
            </w:pPr>
            <w:r>
              <w:rPr>
                <w:rFonts w:hint="eastAsia"/>
                <w:lang w:val="en-US" w:eastAsia="zh-CN"/>
              </w:rPr>
              <w:t>9</w:t>
            </w:r>
          </w:p>
        </w:tc>
      </w:tr>
      <w:tr w14:paraId="38FFE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60" w:type="pct"/>
            <w:vAlign w:val="center"/>
          </w:tcPr>
          <w:p w14:paraId="3510CFCD">
            <w:pPr>
              <w:pStyle w:val="35"/>
              <w:numPr>
                <w:ilvl w:val="0"/>
                <w:numId w:val="3"/>
              </w:numPr>
              <w:ind w:left="454" w:hanging="454"/>
              <w:jc w:val="center"/>
              <w:rPr>
                <w:rFonts w:hint="eastAsia"/>
                <w:lang w:val="en-US" w:eastAsia="zh-CN"/>
              </w:rPr>
            </w:pPr>
          </w:p>
        </w:tc>
        <w:tc>
          <w:tcPr>
            <w:tcW w:w="512" w:type="pct"/>
            <w:vAlign w:val="center"/>
          </w:tcPr>
          <w:p w14:paraId="5B028B5E">
            <w:pPr>
              <w:pStyle w:val="35"/>
              <w:jc w:val="center"/>
              <w:rPr>
                <w:rFonts w:hint="eastAsia"/>
              </w:rPr>
            </w:pPr>
            <w:r>
              <w:rPr>
                <w:rFonts w:hint="eastAsia"/>
              </w:rPr>
              <w:t>新疆越隆达再生资源科技有限公司重点用能设备更新改造项目</w:t>
            </w:r>
          </w:p>
        </w:tc>
        <w:tc>
          <w:tcPr>
            <w:tcW w:w="608" w:type="pct"/>
            <w:vAlign w:val="center"/>
          </w:tcPr>
          <w:p w14:paraId="74C97182">
            <w:pPr>
              <w:pStyle w:val="35"/>
              <w:jc w:val="center"/>
              <w:rPr>
                <w:rFonts w:hint="eastAsia"/>
              </w:rPr>
            </w:pPr>
            <w:r>
              <w:rPr>
                <w:rFonts w:hint="eastAsia"/>
              </w:rPr>
              <w:t>新疆越隆达再生资源科技有限公司</w:t>
            </w:r>
          </w:p>
        </w:tc>
        <w:tc>
          <w:tcPr>
            <w:tcW w:w="2250" w:type="pct"/>
            <w:vAlign w:val="center"/>
          </w:tcPr>
          <w:p w14:paraId="6C4DBC8E">
            <w:pPr>
              <w:pStyle w:val="35"/>
              <w:rPr>
                <w:rFonts w:hint="eastAsia"/>
              </w:rPr>
            </w:pPr>
            <w:r>
              <w:rPr>
                <w:rFonts w:hint="eastAsia"/>
              </w:rPr>
              <w:t>对新疆越隆达再生资源科技有限公司重点用能设备进行更新改造。主要包括更新风机、空压机、变压器、输送机、输送链等设备；升级改造蒸养控制系统、球磨系统、气体输送系统、监测系统、生产线数字化智能化升级改造及配套公辅设施等。更新改造后的重点用能设备能效均达到节能水平（能效2级）以上，年节能量为3204.21吨标准煤，共减少二氧化碳排放量55279.2吨。</w:t>
            </w:r>
          </w:p>
        </w:tc>
        <w:tc>
          <w:tcPr>
            <w:tcW w:w="809" w:type="pct"/>
            <w:vAlign w:val="center"/>
          </w:tcPr>
          <w:p w14:paraId="53C05E1D">
            <w:pPr>
              <w:pStyle w:val="35"/>
              <w:jc w:val="center"/>
              <w:rPr>
                <w:rFonts w:hint="default"/>
                <w:lang w:val="en-US"/>
              </w:rPr>
            </w:pPr>
            <w:r>
              <w:rPr>
                <w:rFonts w:hint="eastAsia"/>
              </w:rPr>
              <w:t>202</w:t>
            </w:r>
            <w:r>
              <w:rPr>
                <w:rFonts w:hint="eastAsia"/>
                <w:lang w:val="en-US" w:eastAsia="zh-CN"/>
              </w:rPr>
              <w:t>4.08—</w:t>
            </w:r>
            <w:r>
              <w:rPr>
                <w:rFonts w:hint="eastAsia"/>
              </w:rPr>
              <w:t>20</w:t>
            </w:r>
            <w:r>
              <w:rPr>
                <w:rFonts w:hint="eastAsia"/>
                <w:lang w:val="en-US" w:eastAsia="zh-CN"/>
              </w:rPr>
              <w:t>26.08</w:t>
            </w:r>
          </w:p>
        </w:tc>
        <w:tc>
          <w:tcPr>
            <w:tcW w:w="458" w:type="pct"/>
            <w:vAlign w:val="center"/>
          </w:tcPr>
          <w:p w14:paraId="482A68FC">
            <w:pPr>
              <w:pStyle w:val="35"/>
              <w:jc w:val="center"/>
              <w:rPr>
                <w:rFonts w:hint="default"/>
                <w:lang w:val="en-US" w:eastAsia="zh-CN"/>
              </w:rPr>
            </w:pPr>
            <w:r>
              <w:rPr>
                <w:rFonts w:hint="eastAsia"/>
                <w:lang w:val="en-US" w:eastAsia="zh-CN"/>
              </w:rPr>
              <w:t>1.17</w:t>
            </w:r>
          </w:p>
        </w:tc>
      </w:tr>
      <w:tr w14:paraId="6D3D7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60" w:type="pct"/>
            <w:vAlign w:val="center"/>
          </w:tcPr>
          <w:p w14:paraId="5E8AEBBA">
            <w:pPr>
              <w:pStyle w:val="35"/>
              <w:numPr>
                <w:ilvl w:val="0"/>
                <w:numId w:val="3"/>
              </w:numPr>
              <w:ind w:left="454" w:hanging="454"/>
              <w:jc w:val="center"/>
              <w:rPr>
                <w:rFonts w:hint="eastAsia"/>
                <w:lang w:val="en-US" w:eastAsia="zh-CN"/>
              </w:rPr>
            </w:pPr>
          </w:p>
        </w:tc>
        <w:tc>
          <w:tcPr>
            <w:tcW w:w="512" w:type="pct"/>
            <w:vAlign w:val="center"/>
          </w:tcPr>
          <w:p w14:paraId="5B7D4498">
            <w:pPr>
              <w:pStyle w:val="35"/>
              <w:jc w:val="center"/>
              <w:rPr>
                <w:rFonts w:hint="eastAsia"/>
              </w:rPr>
            </w:pPr>
            <w:r>
              <w:rPr>
                <w:rFonts w:hint="eastAsia"/>
              </w:rPr>
              <w:t>石河子市百丰棉业有限公司21.79万锭纺纱产业设备升级更新项目</w:t>
            </w:r>
          </w:p>
        </w:tc>
        <w:tc>
          <w:tcPr>
            <w:tcW w:w="608" w:type="pct"/>
            <w:vAlign w:val="center"/>
          </w:tcPr>
          <w:p w14:paraId="505F23E9">
            <w:pPr>
              <w:pStyle w:val="35"/>
              <w:jc w:val="center"/>
              <w:rPr>
                <w:rFonts w:hint="eastAsia"/>
              </w:rPr>
            </w:pPr>
            <w:r>
              <w:rPr>
                <w:rFonts w:hint="eastAsia"/>
              </w:rPr>
              <w:t>石河子市百丰棉业有限公司</w:t>
            </w:r>
          </w:p>
        </w:tc>
        <w:tc>
          <w:tcPr>
            <w:tcW w:w="2250" w:type="pct"/>
            <w:vAlign w:val="center"/>
          </w:tcPr>
          <w:p w14:paraId="76A05CE9">
            <w:pPr>
              <w:pStyle w:val="35"/>
              <w:rPr>
                <w:rFonts w:hint="eastAsia"/>
              </w:rPr>
            </w:pPr>
            <w:r>
              <w:rPr>
                <w:rFonts w:hint="eastAsia"/>
              </w:rPr>
              <w:t>淘汰老旧及损坏的粗纱机、细纱机、络筒机、打包机等纺纱生产线设备，升级更新络筒机94台，粗纱机18台，细纱机120台，清梳联6套，粗细络联4套，打包机8台，全自动自络打包机2套，空压机系统1套及相关配套设施。</w:t>
            </w:r>
          </w:p>
        </w:tc>
        <w:tc>
          <w:tcPr>
            <w:tcW w:w="809" w:type="pct"/>
            <w:vAlign w:val="center"/>
          </w:tcPr>
          <w:p w14:paraId="3C6F9144">
            <w:pPr>
              <w:pStyle w:val="35"/>
              <w:jc w:val="center"/>
              <w:rPr>
                <w:rFonts w:hint="eastAsia"/>
              </w:rPr>
            </w:pPr>
            <w:r>
              <w:rPr>
                <w:rFonts w:hint="eastAsia"/>
              </w:rPr>
              <w:t>2025.05—2025.12</w:t>
            </w:r>
          </w:p>
        </w:tc>
        <w:tc>
          <w:tcPr>
            <w:tcW w:w="458" w:type="pct"/>
            <w:vAlign w:val="center"/>
          </w:tcPr>
          <w:p w14:paraId="18351FE5">
            <w:pPr>
              <w:pStyle w:val="35"/>
              <w:jc w:val="center"/>
              <w:rPr>
                <w:rFonts w:hint="eastAsia"/>
                <w:lang w:val="en-US" w:eastAsia="zh-CN"/>
              </w:rPr>
            </w:pPr>
            <w:r>
              <w:rPr>
                <w:rFonts w:hint="eastAsia"/>
                <w:lang w:val="en-US" w:eastAsia="zh-CN"/>
              </w:rPr>
              <w:t>1.1</w:t>
            </w:r>
          </w:p>
        </w:tc>
      </w:tr>
      <w:tr w14:paraId="0C615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60" w:type="pct"/>
            <w:vAlign w:val="center"/>
          </w:tcPr>
          <w:p w14:paraId="48F5F014">
            <w:pPr>
              <w:pStyle w:val="35"/>
              <w:numPr>
                <w:ilvl w:val="0"/>
                <w:numId w:val="3"/>
              </w:numPr>
              <w:ind w:left="454" w:hanging="454"/>
              <w:jc w:val="center"/>
              <w:rPr>
                <w:rFonts w:hint="eastAsia"/>
                <w:lang w:val="en-US" w:eastAsia="zh-CN"/>
              </w:rPr>
            </w:pPr>
          </w:p>
        </w:tc>
        <w:tc>
          <w:tcPr>
            <w:tcW w:w="512" w:type="pct"/>
            <w:vAlign w:val="center"/>
          </w:tcPr>
          <w:p w14:paraId="2D764190">
            <w:pPr>
              <w:pStyle w:val="35"/>
              <w:jc w:val="center"/>
              <w:rPr>
                <w:rFonts w:hint="eastAsia"/>
              </w:rPr>
            </w:pPr>
            <w:r>
              <w:rPr>
                <w:rFonts w:hint="eastAsia"/>
              </w:rPr>
              <w:t>新疆富纱纺织有限公司27万锭纺纱产业设备更新项目</w:t>
            </w:r>
          </w:p>
        </w:tc>
        <w:tc>
          <w:tcPr>
            <w:tcW w:w="608" w:type="pct"/>
            <w:vAlign w:val="center"/>
          </w:tcPr>
          <w:p w14:paraId="612C0FE7">
            <w:pPr>
              <w:pStyle w:val="35"/>
              <w:jc w:val="center"/>
              <w:rPr>
                <w:rFonts w:hint="eastAsia"/>
              </w:rPr>
            </w:pPr>
            <w:r>
              <w:rPr>
                <w:rFonts w:hint="eastAsia"/>
              </w:rPr>
              <w:t>新疆富纱纺织有限公司</w:t>
            </w:r>
          </w:p>
        </w:tc>
        <w:tc>
          <w:tcPr>
            <w:tcW w:w="2250" w:type="pct"/>
            <w:vAlign w:val="center"/>
          </w:tcPr>
          <w:p w14:paraId="30D529C3">
            <w:pPr>
              <w:pStyle w:val="35"/>
              <w:rPr>
                <w:rFonts w:hint="eastAsia" w:eastAsia="宋体"/>
                <w:lang w:eastAsia="zh-CN"/>
              </w:rPr>
            </w:pPr>
            <w:r>
              <w:rPr>
                <w:rFonts w:hint="eastAsia"/>
              </w:rPr>
              <w:t>淘汰老旧纺纱生产线设备，升级更新清梳联机5套，梳棉机56台，并条机32台，粗纱机16台，细纱机92台，络筒机32台，自动打包机一套及相关配套设施</w:t>
            </w:r>
            <w:r>
              <w:rPr>
                <w:rFonts w:hint="eastAsia"/>
                <w:lang w:eastAsia="zh-CN"/>
              </w:rPr>
              <w:t>。</w:t>
            </w:r>
          </w:p>
        </w:tc>
        <w:tc>
          <w:tcPr>
            <w:tcW w:w="809" w:type="pct"/>
            <w:vAlign w:val="center"/>
          </w:tcPr>
          <w:p w14:paraId="6FB14F47">
            <w:pPr>
              <w:pStyle w:val="35"/>
              <w:jc w:val="center"/>
              <w:rPr>
                <w:rFonts w:hint="eastAsia"/>
              </w:rPr>
            </w:pPr>
            <w:r>
              <w:rPr>
                <w:rFonts w:hint="eastAsia"/>
              </w:rPr>
              <w:t>2025.05—2025.12</w:t>
            </w:r>
          </w:p>
        </w:tc>
        <w:tc>
          <w:tcPr>
            <w:tcW w:w="458" w:type="pct"/>
            <w:vAlign w:val="center"/>
          </w:tcPr>
          <w:p w14:paraId="3F3E70F8">
            <w:pPr>
              <w:pStyle w:val="35"/>
              <w:jc w:val="center"/>
              <w:rPr>
                <w:rFonts w:hint="default"/>
                <w:lang w:val="en-US" w:eastAsia="zh-CN"/>
              </w:rPr>
            </w:pPr>
            <w:r>
              <w:rPr>
                <w:rFonts w:hint="eastAsia"/>
                <w:lang w:val="en-US" w:eastAsia="zh-CN"/>
              </w:rPr>
              <w:t>1.2</w:t>
            </w:r>
          </w:p>
        </w:tc>
      </w:tr>
      <w:tr w14:paraId="5ADFA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60" w:type="pct"/>
            <w:vAlign w:val="center"/>
          </w:tcPr>
          <w:p w14:paraId="420115CF">
            <w:pPr>
              <w:pStyle w:val="35"/>
              <w:numPr>
                <w:ilvl w:val="0"/>
                <w:numId w:val="3"/>
              </w:numPr>
              <w:ind w:left="454" w:hanging="454"/>
              <w:jc w:val="center"/>
              <w:rPr>
                <w:rFonts w:hint="eastAsia"/>
                <w:lang w:val="en-US" w:eastAsia="zh-CN"/>
              </w:rPr>
            </w:pPr>
          </w:p>
        </w:tc>
        <w:tc>
          <w:tcPr>
            <w:tcW w:w="512" w:type="pct"/>
            <w:vAlign w:val="center"/>
          </w:tcPr>
          <w:p w14:paraId="64CD2832">
            <w:pPr>
              <w:pStyle w:val="35"/>
              <w:jc w:val="center"/>
              <w:rPr>
                <w:rFonts w:hint="eastAsia"/>
              </w:rPr>
            </w:pPr>
            <w:r>
              <w:rPr>
                <w:rFonts w:hint="eastAsia"/>
              </w:rPr>
              <w:t>石河子市金茂纺织有限公司设备更新项目</w:t>
            </w:r>
          </w:p>
        </w:tc>
        <w:tc>
          <w:tcPr>
            <w:tcW w:w="608" w:type="pct"/>
            <w:vAlign w:val="center"/>
          </w:tcPr>
          <w:p w14:paraId="0686915D">
            <w:pPr>
              <w:pStyle w:val="35"/>
              <w:jc w:val="center"/>
              <w:rPr>
                <w:rFonts w:hint="eastAsia"/>
              </w:rPr>
            </w:pPr>
            <w:r>
              <w:rPr>
                <w:rFonts w:hint="eastAsia"/>
              </w:rPr>
              <w:t>石河子市金茂纺织有限公司</w:t>
            </w:r>
          </w:p>
        </w:tc>
        <w:tc>
          <w:tcPr>
            <w:tcW w:w="2250" w:type="pct"/>
            <w:vAlign w:val="center"/>
          </w:tcPr>
          <w:p w14:paraId="210C4099">
            <w:pPr>
              <w:pStyle w:val="35"/>
              <w:rPr>
                <w:rFonts w:hint="eastAsia"/>
              </w:rPr>
            </w:pPr>
            <w:r>
              <w:rPr>
                <w:rFonts w:hint="eastAsia"/>
              </w:rPr>
              <w:t>淘汰落后20台套倍捻机设备、人工磅料、化料、散棉浸染等生产线设备，升级更新散纤维连续染色系统、染助剂自动配送系统，包含液体助剂智能配送系统、染料智能配送系维连续染色系统、染助剂自动配送系统，统、元明粉、纯碱集中化料和智能配送系统等生产线设备。</w:t>
            </w:r>
          </w:p>
        </w:tc>
        <w:tc>
          <w:tcPr>
            <w:tcW w:w="809" w:type="pct"/>
            <w:vAlign w:val="center"/>
          </w:tcPr>
          <w:p w14:paraId="0520258C">
            <w:pPr>
              <w:pStyle w:val="35"/>
              <w:jc w:val="center"/>
              <w:rPr>
                <w:rFonts w:hint="eastAsia"/>
              </w:rPr>
            </w:pPr>
            <w:r>
              <w:rPr>
                <w:rFonts w:hint="eastAsia"/>
              </w:rPr>
              <w:t>2025.05—2025.12</w:t>
            </w:r>
          </w:p>
        </w:tc>
        <w:tc>
          <w:tcPr>
            <w:tcW w:w="458" w:type="pct"/>
            <w:vAlign w:val="center"/>
          </w:tcPr>
          <w:p w14:paraId="663770F4">
            <w:pPr>
              <w:pStyle w:val="35"/>
              <w:jc w:val="center"/>
              <w:rPr>
                <w:rFonts w:hint="default"/>
                <w:lang w:val="en-US" w:eastAsia="zh-CN"/>
              </w:rPr>
            </w:pPr>
            <w:r>
              <w:rPr>
                <w:rFonts w:hint="eastAsia"/>
                <w:lang w:val="en-US" w:eastAsia="zh-CN"/>
              </w:rPr>
              <w:t>0.3</w:t>
            </w:r>
          </w:p>
        </w:tc>
      </w:tr>
      <w:tr w14:paraId="7E1D8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60" w:type="pct"/>
            <w:vAlign w:val="center"/>
          </w:tcPr>
          <w:p w14:paraId="69826A14">
            <w:pPr>
              <w:pStyle w:val="35"/>
              <w:numPr>
                <w:ilvl w:val="0"/>
                <w:numId w:val="3"/>
              </w:numPr>
              <w:ind w:left="454" w:hanging="454"/>
              <w:jc w:val="center"/>
              <w:rPr>
                <w:rFonts w:hint="eastAsia"/>
                <w:lang w:val="en-US" w:eastAsia="zh-CN"/>
              </w:rPr>
            </w:pPr>
          </w:p>
        </w:tc>
        <w:tc>
          <w:tcPr>
            <w:tcW w:w="512" w:type="pct"/>
            <w:vAlign w:val="center"/>
          </w:tcPr>
          <w:p w14:paraId="26CEDEA2">
            <w:pPr>
              <w:pStyle w:val="35"/>
              <w:jc w:val="center"/>
              <w:rPr>
                <w:rFonts w:hint="eastAsia"/>
              </w:rPr>
            </w:pPr>
            <w:r>
              <w:rPr>
                <w:rFonts w:hint="eastAsia"/>
              </w:rPr>
              <w:t>石河子经纬织造运营有限公司重点用能设备更新</w:t>
            </w:r>
          </w:p>
        </w:tc>
        <w:tc>
          <w:tcPr>
            <w:tcW w:w="608" w:type="pct"/>
            <w:vAlign w:val="center"/>
          </w:tcPr>
          <w:p w14:paraId="7A6B1D32">
            <w:pPr>
              <w:pStyle w:val="35"/>
              <w:jc w:val="center"/>
              <w:rPr>
                <w:rFonts w:hint="eastAsia"/>
              </w:rPr>
            </w:pPr>
            <w:r>
              <w:rPr>
                <w:rFonts w:hint="eastAsia"/>
              </w:rPr>
              <w:t>石河子经纬织造运营有限公司</w:t>
            </w:r>
          </w:p>
        </w:tc>
        <w:tc>
          <w:tcPr>
            <w:tcW w:w="2250" w:type="pct"/>
            <w:vAlign w:val="center"/>
          </w:tcPr>
          <w:p w14:paraId="519A84E0">
            <w:pPr>
              <w:pStyle w:val="35"/>
              <w:rPr>
                <w:rFonts w:hint="eastAsia"/>
              </w:rPr>
            </w:pPr>
            <w:r>
              <w:rPr>
                <w:rFonts w:hint="eastAsia"/>
              </w:rPr>
              <w:t>对落后高耗能油浸式S9变压器、高低压开关柜、空压机、除尘器、通风机等用能设备进行绿色升级改造，购置2级能效以上干式变压器69台、低压柜425台、高压柜116台、配电箱160台、动力柜253个、母线槽20套、空压机9台、除尘器20套、通风机34套等设备。项目建成后年节约900吨标准煤/年。</w:t>
            </w:r>
          </w:p>
        </w:tc>
        <w:tc>
          <w:tcPr>
            <w:tcW w:w="809" w:type="pct"/>
            <w:vAlign w:val="center"/>
          </w:tcPr>
          <w:p w14:paraId="6639E36B">
            <w:pPr>
              <w:pStyle w:val="35"/>
              <w:jc w:val="center"/>
              <w:rPr>
                <w:rFonts w:hint="default"/>
                <w:lang w:val="en-US"/>
              </w:rPr>
            </w:pPr>
            <w:r>
              <w:rPr>
                <w:rFonts w:hint="eastAsia"/>
              </w:rPr>
              <w:t>202</w:t>
            </w:r>
            <w:r>
              <w:rPr>
                <w:rFonts w:hint="eastAsia"/>
                <w:lang w:val="en-US" w:eastAsia="zh-CN"/>
              </w:rPr>
              <w:t>5.04—</w:t>
            </w:r>
            <w:r>
              <w:rPr>
                <w:rFonts w:hint="eastAsia"/>
              </w:rPr>
              <w:t>20</w:t>
            </w:r>
            <w:r>
              <w:rPr>
                <w:rFonts w:hint="eastAsia"/>
                <w:lang w:val="en-US" w:eastAsia="zh-CN"/>
              </w:rPr>
              <w:t>27.04</w:t>
            </w:r>
          </w:p>
        </w:tc>
        <w:tc>
          <w:tcPr>
            <w:tcW w:w="458" w:type="pct"/>
            <w:vAlign w:val="center"/>
          </w:tcPr>
          <w:p w14:paraId="041F777F">
            <w:pPr>
              <w:pStyle w:val="35"/>
              <w:jc w:val="center"/>
              <w:rPr>
                <w:rFonts w:hint="default"/>
                <w:lang w:val="en-US" w:eastAsia="zh-CN"/>
              </w:rPr>
            </w:pPr>
            <w:r>
              <w:rPr>
                <w:rFonts w:hint="eastAsia"/>
                <w:lang w:val="en-US" w:eastAsia="zh-CN"/>
              </w:rPr>
              <w:t>1.10</w:t>
            </w:r>
          </w:p>
        </w:tc>
      </w:tr>
      <w:tr w14:paraId="6CC1B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60" w:type="pct"/>
            <w:vAlign w:val="center"/>
          </w:tcPr>
          <w:p w14:paraId="202C82C9">
            <w:pPr>
              <w:pStyle w:val="35"/>
              <w:numPr>
                <w:ilvl w:val="0"/>
                <w:numId w:val="3"/>
              </w:numPr>
              <w:ind w:left="454" w:hanging="454"/>
              <w:jc w:val="center"/>
              <w:rPr>
                <w:rFonts w:hint="eastAsia"/>
                <w:lang w:val="en-US" w:eastAsia="zh-CN"/>
              </w:rPr>
            </w:pPr>
          </w:p>
        </w:tc>
        <w:tc>
          <w:tcPr>
            <w:tcW w:w="512" w:type="pct"/>
            <w:vAlign w:val="center"/>
          </w:tcPr>
          <w:p w14:paraId="652B2AD6">
            <w:pPr>
              <w:pStyle w:val="35"/>
              <w:jc w:val="center"/>
              <w:rPr>
                <w:rFonts w:hint="eastAsia" w:eastAsia="宋体"/>
                <w:lang w:val="en-US" w:eastAsia="zh-CN"/>
              </w:rPr>
            </w:pPr>
            <w:r>
              <w:rPr>
                <w:rFonts w:hint="eastAsia"/>
              </w:rPr>
              <w:t>天山盈达碳素煅烧炉智能化更新改造</w:t>
            </w:r>
            <w:r>
              <w:rPr>
                <w:rFonts w:hint="eastAsia"/>
                <w:lang w:val="en-US" w:eastAsia="zh-CN"/>
              </w:rPr>
              <w:t>项目</w:t>
            </w:r>
          </w:p>
        </w:tc>
        <w:tc>
          <w:tcPr>
            <w:tcW w:w="608" w:type="pct"/>
            <w:vAlign w:val="center"/>
          </w:tcPr>
          <w:p w14:paraId="168AE624">
            <w:pPr>
              <w:pStyle w:val="35"/>
              <w:jc w:val="center"/>
              <w:rPr>
                <w:rFonts w:hint="eastAsia"/>
              </w:rPr>
            </w:pPr>
            <w:r>
              <w:rPr>
                <w:rFonts w:hint="eastAsia"/>
              </w:rPr>
              <w:t>新疆天山盈达碳素有限公司</w:t>
            </w:r>
          </w:p>
        </w:tc>
        <w:tc>
          <w:tcPr>
            <w:tcW w:w="2250" w:type="pct"/>
            <w:vAlign w:val="center"/>
          </w:tcPr>
          <w:p w14:paraId="07BB8163">
            <w:pPr>
              <w:pStyle w:val="35"/>
              <w:rPr>
                <w:rFonts w:hint="eastAsia" w:eastAsia="宋体"/>
                <w:lang w:val="en-US" w:eastAsia="zh-CN"/>
              </w:rPr>
            </w:pPr>
            <w:r>
              <w:rPr>
                <w:rFonts w:hint="eastAsia"/>
              </w:rPr>
              <w:t>对天山盈达碳素6台罐式煅烧炉进行智能化更新改造，旨在解决现有煅烧炉设备老化、能耗高、效率低、污染大等问题，实现节能降耗、提升产品质量、保障安全生产以及推动产业升级的目标。建设内容围绕设备更新、系统升级、节能改造和智能化建设四个关键方面展开</w:t>
            </w:r>
            <w:r>
              <w:rPr>
                <w:rFonts w:hint="eastAsia"/>
                <w:lang w:eastAsia="zh-CN"/>
              </w:rPr>
              <w:t>。</w:t>
            </w:r>
            <w:r>
              <w:rPr>
                <w:rFonts w:hint="eastAsia"/>
                <w:lang w:val="en-US" w:eastAsia="zh-CN"/>
              </w:rPr>
              <w:t>项目改造后，</w:t>
            </w:r>
            <w:r>
              <w:rPr>
                <w:rFonts w:hint="eastAsia"/>
              </w:rPr>
              <w:t>年节约1842吨</w:t>
            </w:r>
            <w:r>
              <w:rPr>
                <w:rFonts w:hint="eastAsia"/>
                <w:lang w:val="en-US" w:eastAsia="zh-CN"/>
              </w:rPr>
              <w:t>标准煤。</w:t>
            </w:r>
          </w:p>
        </w:tc>
        <w:tc>
          <w:tcPr>
            <w:tcW w:w="809" w:type="pct"/>
            <w:vAlign w:val="center"/>
          </w:tcPr>
          <w:p w14:paraId="17DF8C37">
            <w:pPr>
              <w:pStyle w:val="35"/>
              <w:jc w:val="center"/>
              <w:rPr>
                <w:rFonts w:hint="eastAsia"/>
              </w:rPr>
            </w:pPr>
            <w:r>
              <w:rPr>
                <w:rFonts w:hint="eastAsia"/>
              </w:rPr>
              <w:t>202</w:t>
            </w:r>
            <w:r>
              <w:rPr>
                <w:rFonts w:hint="eastAsia"/>
                <w:lang w:val="en-US" w:eastAsia="zh-CN"/>
              </w:rPr>
              <w:t>5.02—</w:t>
            </w:r>
            <w:r>
              <w:rPr>
                <w:rFonts w:hint="eastAsia"/>
              </w:rPr>
              <w:t>20</w:t>
            </w:r>
            <w:r>
              <w:rPr>
                <w:rFonts w:hint="eastAsia"/>
                <w:lang w:val="en-US" w:eastAsia="zh-CN"/>
              </w:rPr>
              <w:t>26.12</w:t>
            </w:r>
          </w:p>
        </w:tc>
        <w:tc>
          <w:tcPr>
            <w:tcW w:w="458" w:type="pct"/>
            <w:vAlign w:val="center"/>
          </w:tcPr>
          <w:p w14:paraId="4139FD0A">
            <w:pPr>
              <w:pStyle w:val="35"/>
              <w:jc w:val="center"/>
              <w:rPr>
                <w:rFonts w:hint="default"/>
                <w:lang w:val="en-US" w:eastAsia="zh-CN"/>
              </w:rPr>
            </w:pPr>
            <w:r>
              <w:rPr>
                <w:rFonts w:hint="eastAsia"/>
                <w:lang w:val="en-US" w:eastAsia="zh-CN"/>
              </w:rPr>
              <w:t>0.8</w:t>
            </w:r>
          </w:p>
        </w:tc>
      </w:tr>
      <w:tr w14:paraId="1ED8A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60" w:type="pct"/>
            <w:vAlign w:val="center"/>
          </w:tcPr>
          <w:p w14:paraId="78D62B58">
            <w:pPr>
              <w:pStyle w:val="35"/>
              <w:numPr>
                <w:ilvl w:val="0"/>
                <w:numId w:val="3"/>
              </w:numPr>
              <w:ind w:left="454" w:hanging="454"/>
              <w:jc w:val="center"/>
              <w:rPr>
                <w:rFonts w:hint="default"/>
                <w:lang w:val="en-US" w:eastAsia="zh-CN"/>
              </w:rPr>
            </w:pPr>
          </w:p>
        </w:tc>
        <w:tc>
          <w:tcPr>
            <w:tcW w:w="512" w:type="pct"/>
            <w:vAlign w:val="center"/>
          </w:tcPr>
          <w:p w14:paraId="2AF6A31E">
            <w:pPr>
              <w:pStyle w:val="35"/>
              <w:jc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eastAsia"/>
                <w:lang w:val="en-US" w:eastAsia="zh-CN"/>
              </w:rPr>
              <w:t>石河子市西部宁新碳素有限公司废气集中收集处置协同</w:t>
            </w:r>
            <w:r>
              <w:rPr>
                <w:rFonts w:hint="default"/>
                <w:lang w:val="en-US" w:eastAsia="zh-CN"/>
              </w:rPr>
              <w:t>VOC</w:t>
            </w:r>
            <w:r>
              <w:rPr>
                <w:rFonts w:hint="eastAsia"/>
                <w:lang w:val="en-US" w:eastAsia="zh-CN"/>
              </w:rPr>
              <w:t>s焚烧治理项目</w:t>
            </w:r>
          </w:p>
        </w:tc>
        <w:tc>
          <w:tcPr>
            <w:tcW w:w="608" w:type="pct"/>
            <w:vMerge w:val="restart"/>
            <w:vAlign w:val="center"/>
          </w:tcPr>
          <w:p w14:paraId="62376494">
            <w:pPr>
              <w:pStyle w:val="35"/>
              <w:jc w:val="center"/>
              <w:rPr>
                <w:rFonts w:hint="eastAsia"/>
                <w:lang w:val="en-US" w:eastAsia="zh-CN"/>
              </w:rPr>
            </w:pPr>
            <w:r>
              <w:rPr>
                <w:rFonts w:hint="eastAsia"/>
              </w:rPr>
              <w:t>新疆西部合盛硅业有限公司</w:t>
            </w:r>
          </w:p>
        </w:tc>
        <w:tc>
          <w:tcPr>
            <w:tcW w:w="2250" w:type="pct"/>
            <w:vAlign w:val="center"/>
          </w:tcPr>
          <w:p w14:paraId="67813AF9">
            <w:pPr>
              <w:pStyle w:val="35"/>
              <w:rPr>
                <w:rFonts w:hint="eastAsia"/>
                <w:lang w:val="en-US" w:eastAsia="zh-CN"/>
              </w:rPr>
            </w:pPr>
            <w:r>
              <w:rPr>
                <w:rFonts w:hint="eastAsia"/>
                <w:lang w:val="en-US" w:eastAsia="zh-CN"/>
              </w:rPr>
              <w:t>建设内容：碳素焙烧车间废气通过现有环保治理设施处理后，废气经过新增电捕焦油器处理，与煅烧车间经过余热锅炉降温的废气、石墨化车间废气汇总，通过新增引风机将汇总后的烟气送至合盛自备电厂电锅炉进行焚烧处理，在炉膛</w:t>
            </w:r>
            <w:r>
              <w:rPr>
                <w:rFonts w:hint="default"/>
                <w:lang w:val="en-US" w:eastAsia="zh-CN"/>
              </w:rPr>
              <w:t>850℃</w:t>
            </w:r>
            <w:r>
              <w:rPr>
                <w:rFonts w:hint="eastAsia"/>
                <w:lang w:val="en-US" w:eastAsia="zh-CN"/>
              </w:rPr>
              <w:t>以上的燃烧温度下，将碳素厂各排口集中收集的废气沥青烟和</w:t>
            </w:r>
            <w:r>
              <w:rPr>
                <w:rFonts w:hint="default"/>
                <w:lang w:val="en-US" w:eastAsia="zh-CN"/>
              </w:rPr>
              <w:t>VOCs</w:t>
            </w:r>
            <w:r>
              <w:rPr>
                <w:rFonts w:hint="eastAsia"/>
                <w:lang w:val="en-US" w:eastAsia="zh-CN"/>
              </w:rPr>
              <w:t>等成分全部燃烧，经过电厂原脱硝、除尘、脱硫设施处理后，在电厂</w:t>
            </w:r>
            <w:r>
              <w:rPr>
                <w:rFonts w:hint="default"/>
                <w:lang w:val="en-US" w:eastAsia="zh-CN"/>
              </w:rPr>
              <w:t>210</w:t>
            </w:r>
            <w:r>
              <w:rPr>
                <w:rFonts w:hint="eastAsia"/>
                <w:lang w:val="en-US" w:eastAsia="zh-CN"/>
              </w:rPr>
              <w:t>米高烟囱总排口排放，烟气排放满足火电厂超低排放要求，项目建成后有望实现碳素厂有组织废气零排放。</w:t>
            </w:r>
          </w:p>
          <w:p w14:paraId="59AEA47D">
            <w:pPr>
              <w:pStyle w:val="35"/>
              <w:rPr>
                <w:rFonts w:hint="default" w:eastAsia="仿宋_GB2312" w:cs="仿宋_GB2312"/>
                <w:i w:val="0"/>
                <w:iCs w:val="0"/>
                <w:color w:val="000000"/>
                <w:kern w:val="0"/>
                <w:sz w:val="24"/>
                <w:szCs w:val="24"/>
                <w:highlight w:val="none"/>
                <w:u w:val="none"/>
                <w:lang w:val="en-US" w:eastAsia="zh-CN" w:bidi="ar"/>
              </w:rPr>
            </w:pPr>
            <w:r>
              <w:rPr>
                <w:rFonts w:hint="eastAsia"/>
                <w:lang w:val="en-US" w:eastAsia="zh-CN"/>
              </w:rPr>
              <w:t>预期成效：系统投运后，新增余热锅炉年产蒸汽</w:t>
            </w:r>
            <w:r>
              <w:rPr>
                <w:rFonts w:hint="default"/>
                <w:lang w:val="en-US" w:eastAsia="zh-CN"/>
              </w:rPr>
              <w:t>4</w:t>
            </w:r>
            <w:r>
              <w:rPr>
                <w:rFonts w:hint="eastAsia"/>
                <w:lang w:val="en-US" w:eastAsia="zh-CN"/>
              </w:rPr>
              <w:t>万吨，每年可节约标准煤</w:t>
            </w:r>
            <w:r>
              <w:rPr>
                <w:rFonts w:hint="default"/>
                <w:lang w:val="en-US" w:eastAsia="zh-CN"/>
              </w:rPr>
              <w:t>3800t</w:t>
            </w:r>
            <w:r>
              <w:rPr>
                <w:rFonts w:hint="eastAsia"/>
                <w:lang w:val="en-US" w:eastAsia="zh-CN"/>
              </w:rPr>
              <w:t>。各车间汇总后的总气量为</w:t>
            </w:r>
            <w:r>
              <w:rPr>
                <w:rFonts w:hint="default"/>
                <w:lang w:val="en-US" w:eastAsia="zh-CN"/>
              </w:rPr>
              <w:t>50</w:t>
            </w:r>
            <w:r>
              <w:rPr>
                <w:rFonts w:hint="eastAsia"/>
                <w:lang w:val="en-US" w:eastAsia="zh-CN"/>
              </w:rPr>
              <w:t>万</w:t>
            </w:r>
            <w:r>
              <w:rPr>
                <w:rFonts w:hint="default"/>
                <w:lang w:val="en-US" w:eastAsia="zh-CN"/>
              </w:rPr>
              <w:t>m</w:t>
            </w:r>
            <w:r>
              <w:rPr>
                <w:rFonts w:hint="eastAsia"/>
                <w:lang w:val="en-US" w:eastAsia="zh-CN"/>
              </w:rPr>
              <w:t>3</w:t>
            </w:r>
            <w:r>
              <w:rPr>
                <w:rFonts w:hint="default"/>
                <w:lang w:val="en-US" w:eastAsia="zh-CN"/>
              </w:rPr>
              <w:t>/h</w:t>
            </w:r>
            <w:r>
              <w:rPr>
                <w:rFonts w:hint="eastAsia"/>
                <w:lang w:val="en-US" w:eastAsia="zh-CN"/>
              </w:rPr>
              <w:t>，系统综合运行年节能折合约标煤为</w:t>
            </w:r>
            <w:r>
              <w:rPr>
                <w:rFonts w:hint="default"/>
                <w:lang w:val="en-US" w:eastAsia="zh-CN"/>
              </w:rPr>
              <w:t>17050</w:t>
            </w:r>
            <w:r>
              <w:rPr>
                <w:rFonts w:hint="eastAsia"/>
                <w:lang w:val="en-US" w:eastAsia="zh-CN"/>
              </w:rPr>
              <w:t>吨。每年共计可以节能折合约标煤为</w:t>
            </w:r>
            <w:r>
              <w:rPr>
                <w:rFonts w:hint="default"/>
                <w:lang w:val="en-US" w:eastAsia="zh-CN"/>
              </w:rPr>
              <w:t>20850</w:t>
            </w:r>
            <w:r>
              <w:rPr>
                <w:rFonts w:hint="eastAsia"/>
                <w:lang w:val="en-US" w:eastAsia="zh-CN"/>
              </w:rPr>
              <w:t>吨。</w:t>
            </w:r>
          </w:p>
        </w:tc>
        <w:tc>
          <w:tcPr>
            <w:tcW w:w="809" w:type="pct"/>
            <w:vAlign w:val="center"/>
          </w:tcPr>
          <w:p w14:paraId="6AB7930E">
            <w:pPr>
              <w:pStyle w:val="35"/>
              <w:jc w:val="center"/>
              <w:rPr>
                <w:rFonts w:hint="default" w:eastAsia="宋体"/>
                <w:lang w:val="en-US" w:eastAsia="zh-CN"/>
              </w:rPr>
            </w:pPr>
            <w:r>
              <w:rPr>
                <w:rFonts w:hint="eastAsia"/>
              </w:rPr>
              <w:t>202</w:t>
            </w:r>
            <w:r>
              <w:rPr>
                <w:rFonts w:hint="eastAsia"/>
                <w:lang w:val="en-US" w:eastAsia="zh-CN"/>
              </w:rPr>
              <w:t>4.01—</w:t>
            </w:r>
            <w:r>
              <w:rPr>
                <w:rFonts w:hint="eastAsia"/>
              </w:rPr>
              <w:t>2025</w:t>
            </w:r>
            <w:r>
              <w:rPr>
                <w:rFonts w:hint="eastAsia"/>
                <w:lang w:val="en-US" w:eastAsia="zh-CN"/>
              </w:rPr>
              <w:t>.12</w:t>
            </w:r>
          </w:p>
        </w:tc>
        <w:tc>
          <w:tcPr>
            <w:tcW w:w="458" w:type="pct"/>
            <w:vAlign w:val="center"/>
          </w:tcPr>
          <w:p w14:paraId="5AC71132">
            <w:pPr>
              <w:pStyle w:val="35"/>
              <w:jc w:val="center"/>
              <w:rPr>
                <w:rFonts w:hint="default"/>
                <w:lang w:val="en-US" w:eastAsia="zh-CN"/>
              </w:rPr>
            </w:pPr>
            <w:r>
              <w:rPr>
                <w:rFonts w:hint="eastAsia"/>
                <w:lang w:val="en-US" w:eastAsia="zh-CN"/>
              </w:rPr>
              <w:t>0.65</w:t>
            </w:r>
          </w:p>
        </w:tc>
      </w:tr>
      <w:tr w14:paraId="7C7C4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60" w:type="pct"/>
            <w:vAlign w:val="center"/>
          </w:tcPr>
          <w:p w14:paraId="24CE34FC">
            <w:pPr>
              <w:pStyle w:val="35"/>
              <w:numPr>
                <w:ilvl w:val="0"/>
                <w:numId w:val="3"/>
              </w:numPr>
              <w:ind w:left="454" w:hanging="454"/>
              <w:jc w:val="center"/>
              <w:rPr>
                <w:rFonts w:hint="eastAsia"/>
                <w:lang w:val="en-US" w:eastAsia="zh-CN"/>
              </w:rPr>
            </w:pPr>
          </w:p>
        </w:tc>
        <w:tc>
          <w:tcPr>
            <w:tcW w:w="512" w:type="pct"/>
            <w:vAlign w:val="center"/>
          </w:tcPr>
          <w:p w14:paraId="69EE283C">
            <w:pPr>
              <w:pStyle w:val="35"/>
              <w:jc w:val="center"/>
              <w:rPr>
                <w:rFonts w:hint="eastAsia"/>
                <w:lang w:val="en-US" w:eastAsia="zh-CN"/>
              </w:rPr>
            </w:pPr>
            <w:r>
              <w:rPr>
                <w:rFonts w:hint="eastAsia"/>
              </w:rPr>
              <w:t>新疆西部合盛热电有限公司节能降碳改建项目</w:t>
            </w:r>
          </w:p>
        </w:tc>
        <w:tc>
          <w:tcPr>
            <w:tcW w:w="608" w:type="pct"/>
            <w:vMerge w:val="continue"/>
            <w:vAlign w:val="center"/>
          </w:tcPr>
          <w:p w14:paraId="42B085B7">
            <w:pPr>
              <w:pStyle w:val="35"/>
              <w:jc w:val="center"/>
              <w:rPr>
                <w:rFonts w:hint="eastAsia"/>
              </w:rPr>
            </w:pPr>
          </w:p>
        </w:tc>
        <w:tc>
          <w:tcPr>
            <w:tcW w:w="2250" w:type="pct"/>
            <w:vAlign w:val="center"/>
          </w:tcPr>
          <w:p w14:paraId="16049ED0">
            <w:pPr>
              <w:pStyle w:val="35"/>
              <w:rPr>
                <w:rFonts w:hint="eastAsia"/>
                <w:lang w:val="en-US" w:eastAsia="zh-CN"/>
              </w:rPr>
            </w:pPr>
            <w:r>
              <w:rPr>
                <w:rFonts w:hint="eastAsia"/>
              </w:rPr>
              <w:t>对新疆西部合盛热电有限公司设备及工艺进行节能降碳改建。主要改建包括空冷系统冷却装置、锅炉节能暖风器、水冷壁纳米陶瓷喷涂、高效真空泵、低温过热器、吹灰器等。</w:t>
            </w:r>
          </w:p>
        </w:tc>
        <w:tc>
          <w:tcPr>
            <w:tcW w:w="809" w:type="pct"/>
            <w:vAlign w:val="center"/>
          </w:tcPr>
          <w:p w14:paraId="247476A7">
            <w:pPr>
              <w:pStyle w:val="35"/>
              <w:jc w:val="center"/>
              <w:rPr>
                <w:rFonts w:hint="eastAsia"/>
              </w:rPr>
            </w:pPr>
            <w:r>
              <w:rPr>
                <w:rFonts w:hint="eastAsia"/>
              </w:rPr>
              <w:t>202</w:t>
            </w:r>
            <w:r>
              <w:rPr>
                <w:rFonts w:hint="eastAsia"/>
                <w:lang w:val="en-US" w:eastAsia="zh-CN"/>
              </w:rPr>
              <w:t>5.03—</w:t>
            </w:r>
            <w:r>
              <w:rPr>
                <w:rFonts w:hint="eastAsia"/>
              </w:rPr>
              <w:t>20</w:t>
            </w:r>
            <w:r>
              <w:rPr>
                <w:rFonts w:hint="eastAsia"/>
                <w:lang w:val="en-US" w:eastAsia="zh-CN"/>
              </w:rPr>
              <w:t>26.12</w:t>
            </w:r>
          </w:p>
        </w:tc>
        <w:tc>
          <w:tcPr>
            <w:tcW w:w="458" w:type="pct"/>
            <w:vAlign w:val="center"/>
          </w:tcPr>
          <w:p w14:paraId="488145CB">
            <w:pPr>
              <w:pStyle w:val="35"/>
              <w:jc w:val="center"/>
              <w:rPr>
                <w:rFonts w:hint="default"/>
                <w:lang w:val="en-US" w:eastAsia="zh-CN"/>
              </w:rPr>
            </w:pPr>
            <w:r>
              <w:rPr>
                <w:rFonts w:hint="eastAsia"/>
                <w:lang w:val="en-US" w:eastAsia="zh-CN"/>
              </w:rPr>
              <w:t>0.63</w:t>
            </w:r>
          </w:p>
        </w:tc>
      </w:tr>
      <w:tr w14:paraId="1DC12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60" w:type="pct"/>
            <w:vAlign w:val="center"/>
          </w:tcPr>
          <w:p w14:paraId="50CA6FE9">
            <w:pPr>
              <w:pStyle w:val="35"/>
              <w:numPr>
                <w:ilvl w:val="0"/>
                <w:numId w:val="3"/>
              </w:numPr>
              <w:ind w:left="454" w:hanging="454"/>
              <w:jc w:val="center"/>
              <w:rPr>
                <w:rFonts w:hint="default"/>
                <w:lang w:val="en-US" w:eastAsia="zh-CN"/>
              </w:rPr>
            </w:pPr>
          </w:p>
        </w:tc>
        <w:tc>
          <w:tcPr>
            <w:tcW w:w="512" w:type="pct"/>
            <w:vAlign w:val="center"/>
          </w:tcPr>
          <w:p w14:paraId="36929353">
            <w:pPr>
              <w:pStyle w:val="35"/>
              <w:jc w:val="center"/>
              <w:rPr>
                <w:rFonts w:hint="eastAsia"/>
                <w:lang w:val="en-US" w:eastAsia="zh-CN"/>
              </w:rPr>
            </w:pPr>
            <w:r>
              <w:rPr>
                <w:rFonts w:hint="eastAsia"/>
                <w:lang w:val="en-US" w:eastAsia="zh-CN"/>
              </w:rPr>
              <w:t>新疆西部合盛硅材料有限公司工业硅炉效能技改项目</w:t>
            </w:r>
          </w:p>
        </w:tc>
        <w:tc>
          <w:tcPr>
            <w:tcW w:w="608" w:type="pct"/>
            <w:vMerge w:val="continue"/>
            <w:vAlign w:val="center"/>
          </w:tcPr>
          <w:p w14:paraId="7DC6FF14">
            <w:pPr>
              <w:pStyle w:val="35"/>
              <w:jc w:val="center"/>
              <w:rPr>
                <w:rFonts w:hint="eastAsia"/>
                <w:lang w:val="en-US" w:eastAsia="zh-CN"/>
              </w:rPr>
            </w:pPr>
          </w:p>
        </w:tc>
        <w:tc>
          <w:tcPr>
            <w:tcW w:w="2250" w:type="pct"/>
            <w:vAlign w:val="center"/>
          </w:tcPr>
          <w:p w14:paraId="4A7F2406">
            <w:pPr>
              <w:pStyle w:val="35"/>
              <w:rPr>
                <w:rFonts w:hint="eastAsia"/>
                <w:lang w:val="en-US" w:eastAsia="zh-CN"/>
              </w:rPr>
            </w:pPr>
            <w:r>
              <w:rPr>
                <w:rFonts w:hint="eastAsia"/>
                <w:lang w:val="en-US" w:eastAsia="zh-CN"/>
              </w:rPr>
              <w:t>原15500kVA的工业硅炉型使用3台4500kva单相变压器运行在115%功率下超负荷下生产，产量虽有所提高，但运行效率较低。计划更换为3台6500kva单相变压器，可以在70%～80%负荷下运行，提高变压器效率，可大幅减少电力损耗。</w:t>
            </w:r>
          </w:p>
        </w:tc>
        <w:tc>
          <w:tcPr>
            <w:tcW w:w="809" w:type="pct"/>
            <w:vAlign w:val="center"/>
          </w:tcPr>
          <w:p w14:paraId="7EDAB6E6">
            <w:pPr>
              <w:pStyle w:val="35"/>
              <w:jc w:val="center"/>
              <w:rPr>
                <w:rFonts w:hint="default"/>
                <w:lang w:val="en-US"/>
              </w:rPr>
            </w:pPr>
            <w:r>
              <w:rPr>
                <w:rFonts w:hint="eastAsia"/>
              </w:rPr>
              <w:t>202</w:t>
            </w:r>
            <w:r>
              <w:rPr>
                <w:rFonts w:hint="eastAsia"/>
                <w:lang w:val="en-US" w:eastAsia="zh-CN"/>
              </w:rPr>
              <w:t>4.01—</w:t>
            </w:r>
            <w:r>
              <w:rPr>
                <w:rFonts w:hint="eastAsia"/>
              </w:rPr>
              <w:t>202</w:t>
            </w:r>
            <w:r>
              <w:rPr>
                <w:rFonts w:hint="eastAsia"/>
                <w:lang w:val="en-US" w:eastAsia="zh-CN"/>
              </w:rPr>
              <w:t>5.12</w:t>
            </w:r>
          </w:p>
        </w:tc>
        <w:tc>
          <w:tcPr>
            <w:tcW w:w="458" w:type="pct"/>
            <w:vAlign w:val="center"/>
          </w:tcPr>
          <w:p w14:paraId="568F12AB">
            <w:pPr>
              <w:pStyle w:val="35"/>
              <w:jc w:val="center"/>
              <w:rPr>
                <w:rFonts w:hint="default"/>
                <w:lang w:val="en-US" w:eastAsia="zh-CN"/>
              </w:rPr>
            </w:pPr>
            <w:r>
              <w:rPr>
                <w:rFonts w:hint="eastAsia"/>
                <w:lang w:val="en-US" w:eastAsia="zh-CN"/>
              </w:rPr>
              <w:t>0.1</w:t>
            </w:r>
          </w:p>
        </w:tc>
      </w:tr>
      <w:tr w14:paraId="68E17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60" w:type="pct"/>
            <w:vAlign w:val="center"/>
          </w:tcPr>
          <w:p w14:paraId="36E3AC13">
            <w:pPr>
              <w:pStyle w:val="35"/>
              <w:numPr>
                <w:ilvl w:val="0"/>
                <w:numId w:val="3"/>
              </w:numPr>
              <w:ind w:left="454" w:hanging="454"/>
              <w:jc w:val="center"/>
              <w:rPr>
                <w:rFonts w:hint="default"/>
                <w:lang w:val="en-US" w:eastAsia="zh-CN"/>
              </w:rPr>
            </w:pPr>
          </w:p>
        </w:tc>
        <w:tc>
          <w:tcPr>
            <w:tcW w:w="512" w:type="pct"/>
            <w:vAlign w:val="center"/>
          </w:tcPr>
          <w:p w14:paraId="391D8FE9">
            <w:pPr>
              <w:pStyle w:val="35"/>
              <w:ind w:firstLine="0" w:firstLineChars="0"/>
              <w:jc w:val="center"/>
              <w:rPr>
                <w:rFonts w:hint="eastAsia"/>
                <w:lang w:val="en-US" w:eastAsia="zh-CN"/>
              </w:rPr>
            </w:pPr>
            <w:r>
              <w:rPr>
                <w:rFonts w:hint="eastAsia"/>
              </w:rPr>
              <w:t>石河子众金电极箔有限公司节能技改项目</w:t>
            </w:r>
          </w:p>
        </w:tc>
        <w:tc>
          <w:tcPr>
            <w:tcW w:w="608" w:type="pct"/>
            <w:vAlign w:val="center"/>
          </w:tcPr>
          <w:p w14:paraId="2545F920">
            <w:pPr>
              <w:pStyle w:val="35"/>
              <w:ind w:firstLine="0" w:firstLineChars="0"/>
              <w:jc w:val="center"/>
              <w:rPr>
                <w:rFonts w:hint="eastAsia"/>
              </w:rPr>
            </w:pPr>
            <w:r>
              <w:rPr>
                <w:rFonts w:hint="eastAsia"/>
              </w:rPr>
              <w:t>石河子众金电极箔有限公司</w:t>
            </w:r>
          </w:p>
        </w:tc>
        <w:tc>
          <w:tcPr>
            <w:tcW w:w="2250" w:type="pct"/>
            <w:vAlign w:val="center"/>
          </w:tcPr>
          <w:p w14:paraId="4C96F5CF">
            <w:pPr>
              <w:pStyle w:val="35"/>
              <w:ind w:firstLine="0" w:firstLineChars="0"/>
              <w:rPr>
                <w:rFonts w:hint="eastAsia"/>
                <w:lang w:val="en-US" w:eastAsia="zh-CN"/>
              </w:rPr>
            </w:pPr>
            <w:r>
              <w:rPr>
                <w:rFonts w:hint="eastAsia"/>
                <w:lang w:val="en-US" w:eastAsia="zh-CN"/>
              </w:rPr>
              <w:t>建设内容及成效：（1）对屏蔽板进行改造，增大生产线屏蔽板有效导电面积，年节约332吨标准煤；（2）采用行业内先进的预处理节能生产工艺，提前形成一层水合氧化膜，年节约420吨标准煤；（3）建设管道将生产线生产余热用于设备开机加热，年节约1106.1吨标准煤。</w:t>
            </w:r>
          </w:p>
        </w:tc>
        <w:tc>
          <w:tcPr>
            <w:tcW w:w="809" w:type="pct"/>
            <w:vAlign w:val="center"/>
          </w:tcPr>
          <w:p w14:paraId="40AC62B6">
            <w:pPr>
              <w:pStyle w:val="35"/>
              <w:ind w:firstLine="0" w:firstLineChars="0"/>
              <w:jc w:val="center"/>
              <w:rPr>
                <w:rFonts w:hint="default" w:eastAsia="宋体"/>
                <w:lang w:val="en-US" w:eastAsia="zh-CN"/>
              </w:rPr>
            </w:pPr>
            <w:r>
              <w:rPr>
                <w:rFonts w:hint="eastAsia"/>
              </w:rPr>
              <w:t>2023</w:t>
            </w:r>
            <w:r>
              <w:rPr>
                <w:rFonts w:hint="eastAsia"/>
                <w:lang w:val="en-US" w:eastAsia="zh-CN"/>
              </w:rPr>
              <w:t>.01—</w:t>
            </w:r>
            <w:r>
              <w:rPr>
                <w:rFonts w:hint="eastAsia"/>
              </w:rPr>
              <w:t>2025</w:t>
            </w:r>
            <w:r>
              <w:rPr>
                <w:rFonts w:hint="eastAsia"/>
                <w:lang w:val="en-US" w:eastAsia="zh-CN"/>
              </w:rPr>
              <w:t>.12</w:t>
            </w:r>
          </w:p>
        </w:tc>
        <w:tc>
          <w:tcPr>
            <w:tcW w:w="458" w:type="pct"/>
            <w:vAlign w:val="center"/>
          </w:tcPr>
          <w:p w14:paraId="37BF5F8E">
            <w:pPr>
              <w:pStyle w:val="35"/>
              <w:ind w:firstLine="0" w:firstLineChars="0"/>
              <w:jc w:val="center"/>
              <w:rPr>
                <w:rFonts w:hint="eastAsia"/>
                <w:lang w:val="en-US" w:eastAsia="zh-CN"/>
              </w:rPr>
            </w:pPr>
            <w:r>
              <w:rPr>
                <w:rFonts w:hint="eastAsia"/>
                <w:lang w:val="en-US" w:eastAsia="zh-CN"/>
              </w:rPr>
              <w:t>0.06</w:t>
            </w:r>
          </w:p>
        </w:tc>
      </w:tr>
      <w:tr w14:paraId="3CB2B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60" w:type="pct"/>
            <w:vAlign w:val="center"/>
          </w:tcPr>
          <w:p w14:paraId="0E74F8A0">
            <w:pPr>
              <w:pStyle w:val="35"/>
              <w:numPr>
                <w:ilvl w:val="0"/>
                <w:numId w:val="3"/>
              </w:numPr>
              <w:ind w:left="454" w:hanging="454"/>
              <w:jc w:val="center"/>
              <w:rPr>
                <w:rFonts w:hint="default"/>
                <w:lang w:val="en-US" w:eastAsia="zh-CN"/>
              </w:rPr>
            </w:pPr>
          </w:p>
        </w:tc>
        <w:tc>
          <w:tcPr>
            <w:tcW w:w="512" w:type="pct"/>
            <w:vAlign w:val="center"/>
          </w:tcPr>
          <w:p w14:paraId="109CE399">
            <w:pPr>
              <w:pStyle w:val="35"/>
              <w:ind w:firstLine="0" w:firstLineChars="0"/>
              <w:jc w:val="center"/>
              <w:rPr>
                <w:rFonts w:hint="eastAsia"/>
                <w:lang w:val="en-US" w:eastAsia="zh-CN"/>
              </w:rPr>
            </w:pPr>
            <w:r>
              <w:rPr>
                <w:rFonts w:hint="eastAsia"/>
              </w:rPr>
              <w:t>石河子众和新材料有限公司节能降耗项目</w:t>
            </w:r>
          </w:p>
        </w:tc>
        <w:tc>
          <w:tcPr>
            <w:tcW w:w="608" w:type="pct"/>
            <w:vAlign w:val="center"/>
          </w:tcPr>
          <w:p w14:paraId="285821E6">
            <w:pPr>
              <w:pStyle w:val="35"/>
              <w:ind w:firstLine="0" w:firstLineChars="0"/>
              <w:jc w:val="center"/>
              <w:rPr>
                <w:rFonts w:hint="eastAsia"/>
              </w:rPr>
            </w:pPr>
            <w:r>
              <w:rPr>
                <w:rFonts w:hint="eastAsia"/>
              </w:rPr>
              <w:t>石河子众和新材料有限公司</w:t>
            </w:r>
          </w:p>
        </w:tc>
        <w:tc>
          <w:tcPr>
            <w:tcW w:w="2250" w:type="pct"/>
            <w:vAlign w:val="center"/>
          </w:tcPr>
          <w:p w14:paraId="5D336154">
            <w:pPr>
              <w:pStyle w:val="35"/>
              <w:ind w:firstLine="0" w:firstLineChars="0"/>
              <w:rPr>
                <w:rFonts w:hint="eastAsia"/>
                <w:lang w:val="en-US" w:eastAsia="zh-CN"/>
              </w:rPr>
            </w:pPr>
            <w:r>
              <w:rPr>
                <w:rFonts w:hint="eastAsia"/>
                <w:lang w:val="en-US" w:eastAsia="zh-CN"/>
              </w:rPr>
              <w:t>建设内容及成效：（1）搭建SCADA系统进行数据的采集和工艺分析，优化工艺，合理降低各技术参数，降低槽电压，年节约860吨标准煤；（2）搭建数采系统，对关键数据进行自动采集，精准控制点火、升温和保温过程，年节约33吨标准煤；（3）优化工艺，对电解质熔化和二次净化槽三层工艺技术进行调整，由原来利用熔化粉末料改为利用石墨罐子固体块状料，年节约369吨标准煤。</w:t>
            </w:r>
          </w:p>
        </w:tc>
        <w:tc>
          <w:tcPr>
            <w:tcW w:w="809" w:type="pct"/>
            <w:vAlign w:val="center"/>
          </w:tcPr>
          <w:p w14:paraId="45F4E229">
            <w:pPr>
              <w:pStyle w:val="35"/>
              <w:ind w:firstLine="0" w:firstLineChars="0"/>
              <w:jc w:val="center"/>
              <w:rPr>
                <w:rFonts w:hint="default" w:eastAsia="宋体"/>
                <w:lang w:val="en-US" w:eastAsia="zh-CN"/>
              </w:rPr>
            </w:pPr>
            <w:r>
              <w:rPr>
                <w:rFonts w:hint="eastAsia"/>
              </w:rPr>
              <w:t>2023</w:t>
            </w:r>
            <w:r>
              <w:rPr>
                <w:rFonts w:hint="eastAsia"/>
                <w:lang w:val="en-US" w:eastAsia="zh-CN"/>
              </w:rPr>
              <w:t>.01—</w:t>
            </w:r>
            <w:r>
              <w:rPr>
                <w:rFonts w:hint="eastAsia"/>
              </w:rPr>
              <w:t>2025</w:t>
            </w:r>
            <w:r>
              <w:rPr>
                <w:rFonts w:hint="eastAsia"/>
                <w:lang w:val="en-US" w:eastAsia="zh-CN"/>
              </w:rPr>
              <w:t>.12</w:t>
            </w:r>
          </w:p>
        </w:tc>
        <w:tc>
          <w:tcPr>
            <w:tcW w:w="458" w:type="pct"/>
            <w:vAlign w:val="center"/>
          </w:tcPr>
          <w:p w14:paraId="726DE5DA">
            <w:pPr>
              <w:pStyle w:val="35"/>
              <w:ind w:firstLine="0" w:firstLineChars="0"/>
              <w:jc w:val="center"/>
              <w:rPr>
                <w:rFonts w:hint="eastAsia"/>
                <w:lang w:val="en-US" w:eastAsia="zh-CN"/>
              </w:rPr>
            </w:pPr>
            <w:r>
              <w:rPr>
                <w:rFonts w:hint="eastAsia"/>
                <w:lang w:val="en-US" w:eastAsia="zh-CN"/>
              </w:rPr>
              <w:t>0.06</w:t>
            </w:r>
          </w:p>
        </w:tc>
      </w:tr>
      <w:tr w14:paraId="70182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60" w:type="pct"/>
            <w:vAlign w:val="center"/>
          </w:tcPr>
          <w:p w14:paraId="3FA90EF5">
            <w:pPr>
              <w:pStyle w:val="35"/>
              <w:numPr>
                <w:ilvl w:val="0"/>
                <w:numId w:val="3"/>
              </w:numPr>
              <w:ind w:left="454" w:hanging="454"/>
              <w:jc w:val="center"/>
              <w:rPr>
                <w:rFonts w:hint="default"/>
                <w:lang w:val="en-US" w:eastAsia="zh-CN"/>
              </w:rPr>
            </w:pPr>
          </w:p>
        </w:tc>
        <w:tc>
          <w:tcPr>
            <w:tcW w:w="512" w:type="pct"/>
            <w:vAlign w:val="center"/>
          </w:tcPr>
          <w:p w14:paraId="3A2261FF">
            <w:pPr>
              <w:pStyle w:val="35"/>
              <w:ind w:firstLine="0" w:firstLineChars="0"/>
              <w:jc w:val="center"/>
              <w:rPr>
                <w:rFonts w:hint="default" w:eastAsia="宋体"/>
                <w:lang w:val="en-US" w:eastAsia="zh-CN"/>
              </w:rPr>
            </w:pPr>
            <w:r>
              <w:rPr>
                <w:rFonts w:hint="eastAsia"/>
                <w:lang w:val="en-US" w:eastAsia="zh-CN"/>
              </w:rPr>
              <w:t>石河子经济技术开发区规模以上工业企业设备更新</w:t>
            </w:r>
          </w:p>
        </w:tc>
        <w:tc>
          <w:tcPr>
            <w:tcW w:w="608" w:type="pct"/>
            <w:vAlign w:val="center"/>
          </w:tcPr>
          <w:p w14:paraId="08EE8246">
            <w:pPr>
              <w:pStyle w:val="35"/>
              <w:ind w:firstLine="0" w:firstLineChars="0"/>
              <w:jc w:val="center"/>
              <w:rPr>
                <w:rFonts w:hint="default" w:eastAsia="宋体"/>
                <w:lang w:val="en-US" w:eastAsia="zh-CN"/>
              </w:rPr>
            </w:pPr>
            <w:r>
              <w:rPr>
                <w:rFonts w:hint="eastAsia"/>
                <w:lang w:val="en-US" w:eastAsia="zh-CN"/>
              </w:rPr>
              <w:t>各有关企业</w:t>
            </w:r>
          </w:p>
        </w:tc>
        <w:tc>
          <w:tcPr>
            <w:tcW w:w="2250" w:type="pct"/>
            <w:vAlign w:val="center"/>
          </w:tcPr>
          <w:p w14:paraId="2E19B838">
            <w:pPr>
              <w:pStyle w:val="35"/>
              <w:ind w:firstLine="0" w:firstLineChars="0"/>
              <w:rPr>
                <w:rFonts w:hint="eastAsia" w:eastAsia="宋体"/>
                <w:lang w:val="en-US" w:eastAsia="zh-CN"/>
              </w:rPr>
            </w:pPr>
            <w:r>
              <w:rPr>
                <w:rFonts w:hint="eastAsia"/>
              </w:rPr>
              <w:t>鼓励企业开展节能减碳技改</w:t>
            </w:r>
            <w:r>
              <w:rPr>
                <w:rFonts w:hint="eastAsia"/>
                <w:lang w:eastAsia="zh-CN"/>
              </w:rPr>
              <w:t>，</w:t>
            </w:r>
            <w:r>
              <w:rPr>
                <w:rFonts w:hint="eastAsia"/>
              </w:rPr>
              <w:t>加快推动重点用能设备更新升级</w:t>
            </w:r>
            <w:r>
              <w:rPr>
                <w:rFonts w:hint="eastAsia"/>
                <w:lang w:eastAsia="zh-CN"/>
              </w:rPr>
              <w:t>。</w:t>
            </w:r>
          </w:p>
        </w:tc>
        <w:tc>
          <w:tcPr>
            <w:tcW w:w="809" w:type="pct"/>
            <w:vAlign w:val="center"/>
          </w:tcPr>
          <w:p w14:paraId="76FED913">
            <w:pPr>
              <w:pStyle w:val="35"/>
              <w:ind w:firstLine="0" w:firstLineChars="0"/>
              <w:jc w:val="center"/>
              <w:rPr>
                <w:rFonts w:hint="eastAsia"/>
              </w:rPr>
            </w:pPr>
            <w:r>
              <w:rPr>
                <w:rFonts w:hint="eastAsia"/>
              </w:rPr>
              <w:t>202</w:t>
            </w:r>
            <w:r>
              <w:rPr>
                <w:rFonts w:hint="eastAsia"/>
                <w:lang w:val="en-US" w:eastAsia="zh-CN"/>
              </w:rPr>
              <w:t>4.01—</w:t>
            </w:r>
            <w:r>
              <w:rPr>
                <w:rFonts w:hint="eastAsia"/>
              </w:rPr>
              <w:t>202</w:t>
            </w:r>
            <w:r>
              <w:rPr>
                <w:rFonts w:hint="eastAsia"/>
                <w:lang w:val="en-US" w:eastAsia="zh-CN"/>
              </w:rPr>
              <w:t>7.12</w:t>
            </w:r>
          </w:p>
        </w:tc>
        <w:tc>
          <w:tcPr>
            <w:tcW w:w="458" w:type="pct"/>
            <w:vAlign w:val="center"/>
          </w:tcPr>
          <w:p w14:paraId="14EADC82">
            <w:pPr>
              <w:pStyle w:val="35"/>
              <w:ind w:firstLine="0" w:firstLineChars="0"/>
              <w:jc w:val="center"/>
              <w:rPr>
                <w:rFonts w:hint="default"/>
                <w:lang w:val="en-US" w:eastAsia="zh-CN"/>
              </w:rPr>
            </w:pPr>
            <w:r>
              <w:rPr>
                <w:rFonts w:hint="eastAsia"/>
                <w:lang w:val="en-US" w:eastAsia="zh-CN"/>
              </w:rPr>
              <w:t>30</w:t>
            </w:r>
          </w:p>
        </w:tc>
      </w:tr>
      <w:tr w14:paraId="74895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60" w:type="pct"/>
            <w:vAlign w:val="center"/>
          </w:tcPr>
          <w:p w14:paraId="44EAC664">
            <w:pPr>
              <w:pStyle w:val="35"/>
              <w:numPr>
                <w:ilvl w:val="-1"/>
                <w:numId w:val="0"/>
              </w:numPr>
              <w:tabs>
                <w:tab w:val="left" w:pos="0"/>
              </w:tabs>
              <w:ind w:left="0"/>
              <w:jc w:val="center"/>
            </w:pPr>
            <w:r>
              <w:rPr>
                <w:rFonts w:hint="eastAsia"/>
                <w:lang w:eastAsia="zh-CN"/>
              </w:rPr>
              <w:t>（</w:t>
            </w:r>
            <w:r>
              <w:rPr>
                <w:rFonts w:hint="eastAsia"/>
                <w:lang w:val="en-US" w:eastAsia="zh-CN"/>
              </w:rPr>
              <w:t>四</w:t>
            </w:r>
            <w:r>
              <w:rPr>
                <w:rFonts w:hint="eastAsia"/>
                <w:lang w:eastAsia="zh-CN"/>
              </w:rPr>
              <w:t>）</w:t>
            </w:r>
          </w:p>
        </w:tc>
        <w:tc>
          <w:tcPr>
            <w:tcW w:w="4180" w:type="pct"/>
            <w:gridSpan w:val="4"/>
            <w:vAlign w:val="center"/>
          </w:tcPr>
          <w:p w14:paraId="562A87DA">
            <w:pPr>
              <w:pStyle w:val="35"/>
              <w:jc w:val="center"/>
            </w:pPr>
            <w:r>
              <w:rPr>
                <w:rFonts w:hint="eastAsia"/>
              </w:rPr>
              <w:t>绿色低碳先进技术示范（</w:t>
            </w:r>
            <w:r>
              <w:rPr>
                <w:rFonts w:hint="eastAsia"/>
                <w:lang w:val="en-US" w:eastAsia="zh-CN"/>
              </w:rPr>
              <w:t>5</w:t>
            </w:r>
            <w:r>
              <w:rPr>
                <w:rFonts w:hint="eastAsia"/>
              </w:rPr>
              <w:t>）</w:t>
            </w:r>
          </w:p>
        </w:tc>
        <w:tc>
          <w:tcPr>
            <w:tcW w:w="458" w:type="pct"/>
            <w:vAlign w:val="center"/>
          </w:tcPr>
          <w:p w14:paraId="55321D8F">
            <w:pPr>
              <w:pStyle w:val="35"/>
              <w:jc w:val="center"/>
            </w:pPr>
            <w:r>
              <w:rPr>
                <w:rFonts w:hint="eastAsia"/>
                <w:lang w:val="en-US" w:eastAsia="zh-CN"/>
              </w:rPr>
              <w:t>64.56</w:t>
            </w:r>
          </w:p>
        </w:tc>
      </w:tr>
      <w:tr w14:paraId="0B93F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60" w:type="pct"/>
            <w:vAlign w:val="center"/>
          </w:tcPr>
          <w:p w14:paraId="39EFFF3B">
            <w:pPr>
              <w:pStyle w:val="35"/>
              <w:numPr>
                <w:ilvl w:val="0"/>
                <w:numId w:val="3"/>
              </w:numPr>
              <w:ind w:left="454" w:hanging="454"/>
              <w:jc w:val="center"/>
              <w:rPr>
                <w:rFonts w:hint="default" w:eastAsia="宋体"/>
                <w:lang w:val="en-US" w:eastAsia="zh-CN"/>
              </w:rPr>
            </w:pPr>
          </w:p>
        </w:tc>
        <w:tc>
          <w:tcPr>
            <w:tcW w:w="512" w:type="pct"/>
            <w:vAlign w:val="center"/>
          </w:tcPr>
          <w:p w14:paraId="1924BE5C">
            <w:pPr>
              <w:pStyle w:val="35"/>
              <w:ind w:firstLine="0" w:firstLineChars="0"/>
              <w:jc w:val="center"/>
            </w:pPr>
            <w:r>
              <w:rPr>
                <w:rFonts w:hint="eastAsia"/>
              </w:rPr>
              <w:t>中清先进电池制造（石河子）有限公司6GW高效电池智能制造项目</w:t>
            </w:r>
          </w:p>
        </w:tc>
        <w:tc>
          <w:tcPr>
            <w:tcW w:w="608" w:type="pct"/>
            <w:vAlign w:val="center"/>
          </w:tcPr>
          <w:p w14:paraId="241DB9C5">
            <w:pPr>
              <w:pStyle w:val="35"/>
              <w:ind w:firstLine="0" w:firstLineChars="0"/>
              <w:jc w:val="center"/>
            </w:pPr>
            <w:r>
              <w:rPr>
                <w:rFonts w:hint="eastAsia"/>
              </w:rPr>
              <w:t>中清先进电池制造（石河子）有限公司</w:t>
            </w:r>
          </w:p>
        </w:tc>
        <w:tc>
          <w:tcPr>
            <w:tcW w:w="2250" w:type="pct"/>
            <w:vAlign w:val="center"/>
          </w:tcPr>
          <w:p w14:paraId="2A218244">
            <w:pPr>
              <w:pStyle w:val="35"/>
              <w:ind w:firstLine="0" w:firstLineChars="0"/>
              <w:rPr>
                <w:rFonts w:hint="eastAsia" w:eastAsia="宋体"/>
                <w:lang w:eastAsia="zh-CN"/>
              </w:rPr>
            </w:pPr>
            <w:r>
              <w:rPr>
                <w:rFonts w:hint="eastAsia"/>
              </w:rPr>
              <w:t>项目产品为TOPC</w:t>
            </w:r>
            <w:r>
              <w:rPr>
                <w:rFonts w:hint="eastAsia"/>
                <w:lang w:val="en-US" w:eastAsia="zh-CN"/>
              </w:rPr>
              <w:t>on</w:t>
            </w:r>
            <w:r>
              <w:rPr>
                <w:rFonts w:hint="eastAsia"/>
              </w:rPr>
              <w:t>电池片</w:t>
            </w:r>
            <w:r>
              <w:rPr>
                <w:rFonts w:hint="eastAsia"/>
                <w:lang w:eastAsia="zh-CN"/>
              </w:rPr>
              <w:t>，</w:t>
            </w:r>
            <w:r>
              <w:rPr>
                <w:rFonts w:hint="eastAsia"/>
              </w:rPr>
              <w:t>主要应用于光伏产品和光伏发电系统领域</w:t>
            </w:r>
            <w:r>
              <w:rPr>
                <w:rFonts w:hint="eastAsia"/>
                <w:lang w:eastAsia="zh-CN"/>
              </w:rPr>
              <w:t>。</w:t>
            </w:r>
          </w:p>
          <w:p w14:paraId="6423863B">
            <w:pPr>
              <w:pStyle w:val="35"/>
              <w:ind w:firstLine="0" w:firstLineChars="0"/>
            </w:pPr>
            <w:r>
              <w:rPr>
                <w:rFonts w:hint="eastAsia"/>
                <w:lang w:val="en-US" w:eastAsia="zh-CN"/>
              </w:rPr>
              <w:t>建设内容及成效：</w:t>
            </w:r>
            <w:r>
              <w:rPr>
                <w:rFonts w:hint="eastAsia"/>
              </w:rPr>
              <w:t>本项目新征土地，项目总规划用地面积约350亩，总建筑面积约2221572</w:t>
            </w:r>
            <w:r>
              <w:rPr>
                <w:rFonts w:hint="eastAsia"/>
                <w:lang w:val="en-US" w:eastAsia="zh-CN"/>
              </w:rPr>
              <w:t>m</w:t>
            </w:r>
            <w:r>
              <w:rPr>
                <w:rFonts w:hint="eastAsia"/>
                <w:vertAlign w:val="superscript"/>
                <w:lang w:val="en-US" w:eastAsia="zh-CN"/>
              </w:rPr>
              <w:t>2</w:t>
            </w:r>
            <w:r>
              <w:rPr>
                <w:rFonts w:hint="eastAsia"/>
              </w:rPr>
              <w:t>。主要建筑包括：</w:t>
            </w:r>
            <w:r>
              <w:rPr>
                <w:rFonts w:hint="eastAsia"/>
                <w:lang w:val="en-US" w:eastAsia="zh-CN"/>
              </w:rPr>
              <w:t>1个</w:t>
            </w:r>
            <w:r>
              <w:rPr>
                <w:rFonts w:hint="eastAsia"/>
              </w:rPr>
              <w:t>电池车间、</w:t>
            </w:r>
            <w:r>
              <w:rPr>
                <w:rFonts w:hint="eastAsia"/>
                <w:lang w:val="en-US" w:eastAsia="zh-CN"/>
              </w:rPr>
              <w:t>1个</w:t>
            </w:r>
            <w:r>
              <w:rPr>
                <w:rFonts w:hint="eastAsia"/>
              </w:rPr>
              <w:t>废水处理站、</w:t>
            </w:r>
            <w:r>
              <w:rPr>
                <w:rFonts w:hint="eastAsia"/>
                <w:lang w:val="en-US" w:eastAsia="zh-CN"/>
              </w:rPr>
              <w:t>1个</w:t>
            </w:r>
            <w:r>
              <w:rPr>
                <w:rFonts w:hint="eastAsia"/>
              </w:rPr>
              <w:t>空分制氮站、</w:t>
            </w:r>
            <w:r>
              <w:rPr>
                <w:rFonts w:hint="eastAsia"/>
                <w:lang w:val="en-US" w:eastAsia="zh-CN"/>
              </w:rPr>
              <w:t>1个</w:t>
            </w:r>
            <w:r>
              <w:rPr>
                <w:rFonts w:hint="eastAsia"/>
              </w:rPr>
              <w:t>动力中心、垃圾房等，以及室外道路及周转场地、厂区管网系统、绿化、围墙、大门等，建设完成后形成年产6GW TOPCon电池</w:t>
            </w:r>
            <w:r>
              <w:rPr>
                <w:rFonts w:hint="eastAsia"/>
                <w:lang w:eastAsia="zh-CN"/>
              </w:rPr>
              <w:t>。</w:t>
            </w:r>
            <w:r>
              <w:rPr>
                <w:rFonts w:hint="eastAsia"/>
              </w:rPr>
              <w:t>本项目建设起点高，选用工艺设备先进，产品质量有保证，能创造良好效益，对国内光伏行业发展产生积极促进作用</w:t>
            </w:r>
            <w:r>
              <w:rPr>
                <w:rFonts w:hint="eastAsia"/>
                <w:lang w:eastAsia="zh-CN"/>
              </w:rPr>
              <w:t>。</w:t>
            </w:r>
          </w:p>
        </w:tc>
        <w:tc>
          <w:tcPr>
            <w:tcW w:w="809" w:type="pct"/>
            <w:vAlign w:val="center"/>
          </w:tcPr>
          <w:p w14:paraId="3C63EC0F">
            <w:pPr>
              <w:pStyle w:val="35"/>
              <w:ind w:firstLine="0" w:firstLineChars="0"/>
              <w:jc w:val="center"/>
              <w:rPr>
                <w:rFonts w:hint="default"/>
                <w:lang w:val="en-US"/>
              </w:rPr>
            </w:pPr>
            <w:r>
              <w:rPr>
                <w:rFonts w:hint="eastAsia"/>
              </w:rPr>
              <w:t>202</w:t>
            </w:r>
            <w:r>
              <w:rPr>
                <w:rFonts w:hint="eastAsia"/>
                <w:lang w:val="en-US" w:eastAsia="zh-CN"/>
              </w:rPr>
              <w:t>4.08—</w:t>
            </w:r>
            <w:r>
              <w:rPr>
                <w:rFonts w:hint="eastAsia"/>
              </w:rPr>
              <w:t>202</w:t>
            </w:r>
            <w:r>
              <w:rPr>
                <w:rFonts w:hint="eastAsia"/>
                <w:lang w:val="en-US" w:eastAsia="zh-CN"/>
              </w:rPr>
              <w:t>5.08</w:t>
            </w:r>
          </w:p>
        </w:tc>
        <w:tc>
          <w:tcPr>
            <w:tcW w:w="458" w:type="pct"/>
            <w:vAlign w:val="center"/>
          </w:tcPr>
          <w:p w14:paraId="023E2BDC">
            <w:pPr>
              <w:pStyle w:val="35"/>
              <w:ind w:firstLine="0" w:firstLineChars="0"/>
              <w:jc w:val="center"/>
              <w:rPr>
                <w:rFonts w:hint="default" w:eastAsia="宋体"/>
                <w:lang w:val="en-US" w:eastAsia="zh-CN"/>
              </w:rPr>
            </w:pPr>
            <w:r>
              <w:rPr>
                <w:rFonts w:hint="eastAsia"/>
              </w:rPr>
              <w:t>30</w:t>
            </w:r>
            <w:r>
              <w:rPr>
                <w:rFonts w:hint="eastAsia"/>
                <w:lang w:eastAsia="zh-CN"/>
              </w:rPr>
              <w:t>.</w:t>
            </w:r>
            <w:r>
              <w:rPr>
                <w:rFonts w:hint="eastAsia"/>
              </w:rPr>
              <w:t>0</w:t>
            </w:r>
            <w:r>
              <w:rPr>
                <w:rFonts w:hint="eastAsia"/>
                <w:lang w:val="en-US" w:eastAsia="zh-CN"/>
              </w:rPr>
              <w:t>3</w:t>
            </w:r>
          </w:p>
        </w:tc>
      </w:tr>
      <w:tr w14:paraId="5CA55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6" w:hRule="atLeast"/>
        </w:trPr>
        <w:tc>
          <w:tcPr>
            <w:tcW w:w="360" w:type="pct"/>
            <w:vAlign w:val="center"/>
          </w:tcPr>
          <w:p w14:paraId="70F7A31D">
            <w:pPr>
              <w:pStyle w:val="35"/>
              <w:numPr>
                <w:ilvl w:val="0"/>
                <w:numId w:val="3"/>
              </w:numPr>
              <w:ind w:left="454" w:hanging="454"/>
              <w:jc w:val="center"/>
              <w:rPr>
                <w:rFonts w:hint="default" w:eastAsia="宋体"/>
                <w:lang w:val="en-US" w:eastAsia="zh-CN"/>
              </w:rPr>
            </w:pPr>
          </w:p>
        </w:tc>
        <w:tc>
          <w:tcPr>
            <w:tcW w:w="512" w:type="pct"/>
            <w:vAlign w:val="center"/>
          </w:tcPr>
          <w:p w14:paraId="257A5094">
            <w:pPr>
              <w:pStyle w:val="35"/>
              <w:ind w:firstLine="0" w:firstLineChars="0"/>
              <w:jc w:val="center"/>
            </w:pPr>
            <w:r>
              <w:rPr>
                <w:rFonts w:hint="eastAsia"/>
              </w:rPr>
              <w:t>新疆国融氢能科技有限公司氢燃料全产业链项目</w:t>
            </w:r>
          </w:p>
        </w:tc>
        <w:tc>
          <w:tcPr>
            <w:tcW w:w="608" w:type="pct"/>
            <w:vAlign w:val="center"/>
          </w:tcPr>
          <w:p w14:paraId="56A089BD">
            <w:pPr>
              <w:pStyle w:val="35"/>
              <w:ind w:firstLine="0" w:firstLineChars="0"/>
              <w:jc w:val="center"/>
            </w:pPr>
            <w:r>
              <w:rPr>
                <w:rFonts w:hint="eastAsia"/>
              </w:rPr>
              <w:t>新疆国融氢能科技有限公司</w:t>
            </w:r>
          </w:p>
        </w:tc>
        <w:tc>
          <w:tcPr>
            <w:tcW w:w="2250" w:type="pct"/>
            <w:vAlign w:val="center"/>
          </w:tcPr>
          <w:p w14:paraId="3C47EB2B">
            <w:pPr>
              <w:pStyle w:val="35"/>
              <w:ind w:firstLine="0" w:firstLineChars="0"/>
              <w:rPr>
                <w:rFonts w:hint="eastAsia" w:eastAsia="宋体"/>
                <w:lang w:eastAsia="zh-CN"/>
              </w:rPr>
            </w:pPr>
            <w:r>
              <w:rPr>
                <w:rFonts w:hint="eastAsia"/>
              </w:rPr>
              <w:t>分三期建设年产2000辆燃料电池改装车生产线、燃料电池和零部件生产线、工程机械生产基地、20座制氢加氢一体站以及2个制氢工厂（20吨）。</w:t>
            </w:r>
          </w:p>
        </w:tc>
        <w:tc>
          <w:tcPr>
            <w:tcW w:w="809" w:type="pct"/>
            <w:vAlign w:val="center"/>
          </w:tcPr>
          <w:p w14:paraId="110CFCEF">
            <w:pPr>
              <w:pStyle w:val="35"/>
              <w:ind w:firstLine="0" w:firstLineChars="0"/>
              <w:jc w:val="center"/>
              <w:rPr>
                <w:rFonts w:hint="default"/>
                <w:lang w:val="en-US"/>
              </w:rPr>
            </w:pPr>
            <w:r>
              <w:rPr>
                <w:rFonts w:hint="eastAsia"/>
              </w:rPr>
              <w:t>202</w:t>
            </w:r>
            <w:r>
              <w:rPr>
                <w:rFonts w:hint="eastAsia"/>
                <w:lang w:val="en-US" w:eastAsia="zh-CN"/>
              </w:rPr>
              <w:t>5.01—</w:t>
            </w:r>
            <w:r>
              <w:rPr>
                <w:rFonts w:hint="eastAsia"/>
              </w:rPr>
              <w:t>202</w:t>
            </w:r>
            <w:r>
              <w:rPr>
                <w:rFonts w:hint="eastAsia"/>
                <w:lang w:val="en-US" w:eastAsia="zh-CN"/>
              </w:rPr>
              <w:t>7.12</w:t>
            </w:r>
          </w:p>
        </w:tc>
        <w:tc>
          <w:tcPr>
            <w:tcW w:w="458" w:type="pct"/>
            <w:vAlign w:val="center"/>
          </w:tcPr>
          <w:p w14:paraId="58B400E6">
            <w:pPr>
              <w:pStyle w:val="35"/>
              <w:ind w:firstLine="0" w:firstLineChars="0"/>
              <w:jc w:val="center"/>
            </w:pPr>
            <w:r>
              <w:rPr>
                <w:rFonts w:hint="eastAsia"/>
                <w:lang w:val="en-US" w:eastAsia="zh-CN"/>
              </w:rPr>
              <w:t>21</w:t>
            </w:r>
          </w:p>
        </w:tc>
      </w:tr>
      <w:tr w14:paraId="00135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17" w:hRule="atLeast"/>
        </w:trPr>
        <w:tc>
          <w:tcPr>
            <w:tcW w:w="360" w:type="pct"/>
            <w:vAlign w:val="center"/>
          </w:tcPr>
          <w:p w14:paraId="73A7FDC6">
            <w:pPr>
              <w:pStyle w:val="35"/>
              <w:numPr>
                <w:ilvl w:val="0"/>
                <w:numId w:val="3"/>
              </w:numPr>
              <w:ind w:left="454" w:hanging="454"/>
              <w:jc w:val="center"/>
              <w:rPr>
                <w:rFonts w:hint="eastAsia"/>
                <w:lang w:val="en-US" w:eastAsia="zh-CN"/>
              </w:rPr>
            </w:pPr>
          </w:p>
        </w:tc>
        <w:tc>
          <w:tcPr>
            <w:tcW w:w="512" w:type="pct"/>
            <w:vAlign w:val="center"/>
          </w:tcPr>
          <w:p w14:paraId="32006CC7">
            <w:pPr>
              <w:pStyle w:val="35"/>
              <w:ind w:firstLine="0" w:firstLineChars="0"/>
              <w:jc w:val="center"/>
              <w:rPr>
                <w:rFonts w:hint="eastAsia"/>
              </w:rPr>
            </w:pPr>
            <w:r>
              <w:rPr>
                <w:rFonts w:hint="eastAsia"/>
              </w:rPr>
              <w:t>新疆敦华280万吨二氧化碳捕集及应用工程项目</w:t>
            </w:r>
          </w:p>
        </w:tc>
        <w:tc>
          <w:tcPr>
            <w:tcW w:w="608" w:type="pct"/>
            <w:vAlign w:val="center"/>
          </w:tcPr>
          <w:p w14:paraId="17306DE1">
            <w:pPr>
              <w:pStyle w:val="35"/>
              <w:ind w:firstLine="0" w:firstLineChars="0"/>
              <w:jc w:val="center"/>
              <w:rPr>
                <w:rFonts w:hint="eastAsia"/>
              </w:rPr>
            </w:pPr>
            <w:r>
              <w:rPr>
                <w:rFonts w:hint="eastAsia"/>
              </w:rPr>
              <w:t>新疆敦华绿碳技术股份有限公司</w:t>
            </w:r>
          </w:p>
        </w:tc>
        <w:tc>
          <w:tcPr>
            <w:tcW w:w="2250" w:type="pct"/>
            <w:vAlign w:val="center"/>
          </w:tcPr>
          <w:p w14:paraId="3616831A">
            <w:pPr>
              <w:pStyle w:val="35"/>
              <w:ind w:firstLine="0" w:firstLineChars="0"/>
              <w:rPr>
                <w:rFonts w:hint="eastAsia"/>
              </w:rPr>
            </w:pPr>
            <w:r>
              <w:rPr>
                <w:rFonts w:hint="eastAsia"/>
              </w:rPr>
              <w:t>新建280万吨二氧化碳捕集及配套设施。二氧化碳捕集站一座，含干燥脱水系统一套、PSA吸脱附系统一套、离心压缩机一套，常温制冷机一套、循环水系统一套、配电室、综控室，年捕集二氧化碳规模280万吨。二氧化碳管线全线212公里，全线设置站场4座</w:t>
            </w:r>
            <w:r>
              <w:rPr>
                <w:rFonts w:hint="eastAsia"/>
                <w:lang w:eastAsia="zh-CN"/>
              </w:rPr>
              <w:t>（</w:t>
            </w:r>
            <w:r>
              <w:rPr>
                <w:rFonts w:hint="eastAsia"/>
              </w:rPr>
              <w:t>包括天业首站、八区分输清管站、百口泉分输站、玛湖末站</w:t>
            </w:r>
            <w:r>
              <w:rPr>
                <w:rFonts w:hint="eastAsia"/>
                <w:lang w:eastAsia="zh-CN"/>
              </w:rPr>
              <w:t>）</w:t>
            </w:r>
            <w:r>
              <w:rPr>
                <w:rFonts w:hint="eastAsia"/>
              </w:rPr>
              <w:t>，阀室6座</w:t>
            </w:r>
            <w:r>
              <w:rPr>
                <w:rFonts w:hint="eastAsia"/>
                <w:lang w:eastAsia="zh-CN"/>
              </w:rPr>
              <w:t>；</w:t>
            </w:r>
            <w:r>
              <w:rPr>
                <w:rFonts w:hint="eastAsia"/>
              </w:rPr>
              <w:t>制冷站3座，含制冷机3套、冷却塔3套</w:t>
            </w:r>
            <w:r>
              <w:rPr>
                <w:rFonts w:hint="eastAsia"/>
                <w:lang w:eastAsia="zh-CN"/>
              </w:rPr>
              <w:t>；</w:t>
            </w:r>
            <w:r>
              <w:rPr>
                <w:rFonts w:hint="eastAsia"/>
              </w:rPr>
              <w:t>二氧化碳2000m</w:t>
            </w:r>
            <w:r>
              <w:rPr>
                <w:rFonts w:hint="eastAsia"/>
                <w:vertAlign w:val="superscript"/>
                <w:lang w:val="en-US" w:eastAsia="zh-CN"/>
              </w:rPr>
              <w:t>3</w:t>
            </w:r>
            <w:r>
              <w:rPr>
                <w:rFonts w:hint="eastAsia"/>
              </w:rPr>
              <w:t>球罐5座、1000m</w:t>
            </w:r>
            <w:r>
              <w:rPr>
                <w:rFonts w:hint="eastAsia"/>
                <w:vertAlign w:val="superscript"/>
                <w:lang w:val="en-US" w:eastAsia="zh-CN"/>
              </w:rPr>
              <w:t>3</w:t>
            </w:r>
            <w:r>
              <w:rPr>
                <w:rFonts w:hint="eastAsia"/>
              </w:rPr>
              <w:t>球罐2座</w:t>
            </w:r>
            <w:r>
              <w:rPr>
                <w:rFonts w:hint="eastAsia"/>
                <w:lang w:eastAsia="zh-CN"/>
              </w:rPr>
              <w:t>；</w:t>
            </w:r>
            <w:r>
              <w:rPr>
                <w:rFonts w:hint="eastAsia"/>
              </w:rPr>
              <w:t>二氧化碳储罐35</w:t>
            </w:r>
            <w:r>
              <w:rPr>
                <w:rFonts w:hint="eastAsia"/>
                <w:lang w:eastAsia="zh-CN"/>
              </w:rPr>
              <w:t>；</w:t>
            </w:r>
            <w:r>
              <w:rPr>
                <w:rFonts w:hint="eastAsia"/>
              </w:rPr>
              <w:t>公用工程配套系统及电气、自控和相关辅助设备等。</w:t>
            </w:r>
          </w:p>
        </w:tc>
        <w:tc>
          <w:tcPr>
            <w:tcW w:w="809" w:type="pct"/>
            <w:vAlign w:val="center"/>
          </w:tcPr>
          <w:p w14:paraId="32CF6AED">
            <w:pPr>
              <w:pStyle w:val="35"/>
              <w:ind w:firstLine="0" w:firstLineChars="0"/>
              <w:jc w:val="center"/>
              <w:rPr>
                <w:rFonts w:hint="eastAsia"/>
              </w:rPr>
            </w:pPr>
            <w:r>
              <w:rPr>
                <w:rFonts w:hint="eastAsia"/>
              </w:rPr>
              <w:t>202</w:t>
            </w:r>
            <w:r>
              <w:rPr>
                <w:rFonts w:hint="eastAsia"/>
                <w:lang w:val="en-US" w:eastAsia="zh-CN"/>
              </w:rPr>
              <w:t>5.06—</w:t>
            </w:r>
            <w:r>
              <w:rPr>
                <w:rFonts w:hint="eastAsia"/>
              </w:rPr>
              <w:t>202</w:t>
            </w:r>
            <w:r>
              <w:rPr>
                <w:rFonts w:hint="eastAsia"/>
                <w:lang w:val="en-US" w:eastAsia="zh-CN"/>
              </w:rPr>
              <w:t>6.12</w:t>
            </w:r>
          </w:p>
        </w:tc>
        <w:tc>
          <w:tcPr>
            <w:tcW w:w="458" w:type="pct"/>
            <w:vAlign w:val="center"/>
          </w:tcPr>
          <w:p w14:paraId="7B56AB2C">
            <w:pPr>
              <w:pStyle w:val="35"/>
              <w:ind w:firstLine="0" w:firstLineChars="0"/>
              <w:jc w:val="center"/>
              <w:rPr>
                <w:rFonts w:hint="default"/>
                <w:lang w:val="en-US" w:eastAsia="zh-CN"/>
              </w:rPr>
            </w:pPr>
            <w:r>
              <w:rPr>
                <w:rFonts w:hint="eastAsia"/>
                <w:lang w:val="en-US" w:eastAsia="zh-CN"/>
              </w:rPr>
              <w:t>10.07</w:t>
            </w:r>
          </w:p>
        </w:tc>
      </w:tr>
      <w:tr w14:paraId="2C1A9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6" w:hRule="atLeast"/>
        </w:trPr>
        <w:tc>
          <w:tcPr>
            <w:tcW w:w="360" w:type="pct"/>
            <w:vAlign w:val="center"/>
          </w:tcPr>
          <w:p w14:paraId="21884B10">
            <w:pPr>
              <w:pStyle w:val="35"/>
              <w:numPr>
                <w:ilvl w:val="0"/>
                <w:numId w:val="3"/>
              </w:numPr>
              <w:ind w:left="454" w:hanging="454"/>
              <w:jc w:val="center"/>
              <w:rPr>
                <w:rFonts w:hint="default"/>
                <w:lang w:val="en-US" w:eastAsia="zh-CN"/>
              </w:rPr>
            </w:pPr>
          </w:p>
        </w:tc>
        <w:tc>
          <w:tcPr>
            <w:tcW w:w="512" w:type="pct"/>
            <w:vAlign w:val="center"/>
          </w:tcPr>
          <w:p w14:paraId="15BDEC52">
            <w:pPr>
              <w:pStyle w:val="35"/>
              <w:ind w:firstLine="0" w:firstLineChars="0"/>
              <w:jc w:val="center"/>
              <w:rPr>
                <w:rFonts w:hint="eastAsia"/>
              </w:rPr>
            </w:pPr>
            <w:r>
              <w:rPr>
                <w:rFonts w:hint="eastAsia"/>
              </w:rPr>
              <w:t>国华（石河子）新能源有限公司绿氢减碳创新应用示范项目</w:t>
            </w:r>
          </w:p>
        </w:tc>
        <w:tc>
          <w:tcPr>
            <w:tcW w:w="608" w:type="pct"/>
            <w:vAlign w:val="center"/>
          </w:tcPr>
          <w:p w14:paraId="7EF1AACD">
            <w:pPr>
              <w:pStyle w:val="35"/>
              <w:ind w:firstLine="0" w:firstLineChars="0"/>
              <w:jc w:val="center"/>
              <w:rPr>
                <w:rFonts w:hint="eastAsia"/>
              </w:rPr>
            </w:pPr>
            <w:r>
              <w:rPr>
                <w:rFonts w:hint="eastAsia"/>
              </w:rPr>
              <w:t>国华（石河子）新能源有限公司</w:t>
            </w:r>
          </w:p>
        </w:tc>
        <w:tc>
          <w:tcPr>
            <w:tcW w:w="2250" w:type="pct"/>
            <w:vAlign w:val="center"/>
          </w:tcPr>
          <w:p w14:paraId="0ECA63B6">
            <w:pPr>
              <w:pStyle w:val="35"/>
              <w:ind w:firstLine="0" w:firstLineChars="0"/>
              <w:rPr>
                <w:rFonts w:hint="eastAsia"/>
              </w:rPr>
            </w:pPr>
            <w:r>
              <w:rPr>
                <w:rFonts w:hint="eastAsia"/>
              </w:rPr>
              <w:t>项目计划总投资1.96亿元，用地42亩，建设一座年产727.2吨的电解水制氢工厂（1000Nm3/h）、一座年产2181.6吨的制氢工厂（3000Nm³/h）、四座加氢站（2000kg/天）。</w:t>
            </w:r>
          </w:p>
        </w:tc>
        <w:tc>
          <w:tcPr>
            <w:tcW w:w="809" w:type="pct"/>
            <w:vAlign w:val="center"/>
          </w:tcPr>
          <w:p w14:paraId="2EC771F2">
            <w:pPr>
              <w:pStyle w:val="35"/>
              <w:ind w:firstLine="0" w:firstLineChars="0"/>
              <w:jc w:val="center"/>
              <w:rPr>
                <w:rFonts w:hint="default" w:eastAsia="宋体"/>
                <w:lang w:val="en-US" w:eastAsia="zh-CN"/>
              </w:rPr>
            </w:pPr>
            <w:r>
              <w:rPr>
                <w:rFonts w:hint="eastAsia"/>
              </w:rPr>
              <w:t>202</w:t>
            </w:r>
            <w:r>
              <w:rPr>
                <w:rFonts w:hint="eastAsia"/>
                <w:lang w:val="en-US" w:eastAsia="zh-CN"/>
              </w:rPr>
              <w:t>4.07—</w:t>
            </w:r>
            <w:r>
              <w:rPr>
                <w:rFonts w:hint="eastAsia"/>
              </w:rPr>
              <w:t>202</w:t>
            </w:r>
            <w:r>
              <w:rPr>
                <w:rFonts w:hint="eastAsia"/>
                <w:lang w:val="en-US" w:eastAsia="zh-CN"/>
              </w:rPr>
              <w:t>6.12</w:t>
            </w:r>
          </w:p>
        </w:tc>
        <w:tc>
          <w:tcPr>
            <w:tcW w:w="458" w:type="pct"/>
            <w:vAlign w:val="center"/>
          </w:tcPr>
          <w:p w14:paraId="1E65A64A">
            <w:pPr>
              <w:pStyle w:val="35"/>
              <w:ind w:firstLine="0" w:firstLineChars="0"/>
              <w:jc w:val="center"/>
              <w:rPr>
                <w:rFonts w:hint="eastAsia"/>
                <w:lang w:val="en-US" w:eastAsia="zh-CN"/>
              </w:rPr>
            </w:pPr>
            <w:r>
              <w:rPr>
                <w:rFonts w:hint="eastAsia"/>
              </w:rPr>
              <w:t>1.96</w:t>
            </w:r>
          </w:p>
        </w:tc>
      </w:tr>
      <w:tr w14:paraId="18767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60" w:type="pct"/>
            <w:vAlign w:val="center"/>
          </w:tcPr>
          <w:p w14:paraId="2179C889">
            <w:pPr>
              <w:pStyle w:val="35"/>
              <w:numPr>
                <w:ilvl w:val="0"/>
                <w:numId w:val="3"/>
              </w:numPr>
              <w:ind w:left="454" w:hanging="454"/>
              <w:jc w:val="center"/>
              <w:rPr>
                <w:rFonts w:hint="eastAsia"/>
                <w:lang w:val="en-US" w:eastAsia="zh-CN"/>
              </w:rPr>
            </w:pPr>
          </w:p>
        </w:tc>
        <w:tc>
          <w:tcPr>
            <w:tcW w:w="512" w:type="pct"/>
            <w:vAlign w:val="center"/>
          </w:tcPr>
          <w:p w14:paraId="3AB3388B">
            <w:pPr>
              <w:pStyle w:val="35"/>
              <w:ind w:firstLine="0" w:firstLineChars="0"/>
              <w:jc w:val="center"/>
              <w:rPr>
                <w:rFonts w:hint="eastAsia"/>
              </w:rPr>
            </w:pPr>
            <w:r>
              <w:rPr>
                <w:rFonts w:hint="eastAsia"/>
              </w:rPr>
              <w:t>天辰热电富氧燃烧改造</w:t>
            </w:r>
          </w:p>
          <w:p w14:paraId="545087F9">
            <w:pPr>
              <w:pStyle w:val="35"/>
              <w:ind w:firstLine="0" w:firstLineChars="0"/>
              <w:jc w:val="center"/>
              <w:rPr>
                <w:rFonts w:hint="eastAsia"/>
              </w:rPr>
            </w:pPr>
            <w:r>
              <w:rPr>
                <w:rFonts w:hint="eastAsia"/>
              </w:rPr>
              <w:t>及二氧化碳捕集项目</w:t>
            </w:r>
          </w:p>
        </w:tc>
        <w:tc>
          <w:tcPr>
            <w:tcW w:w="608" w:type="pct"/>
            <w:vAlign w:val="center"/>
          </w:tcPr>
          <w:p w14:paraId="7B6B5B4E">
            <w:pPr>
              <w:pStyle w:val="35"/>
              <w:ind w:firstLine="0" w:firstLineChars="0"/>
              <w:jc w:val="center"/>
              <w:rPr>
                <w:rFonts w:hint="eastAsia"/>
              </w:rPr>
            </w:pPr>
            <w:r>
              <w:rPr>
                <w:rFonts w:hint="eastAsia"/>
              </w:rPr>
              <w:t>新疆天业（集团）有限公司</w:t>
            </w:r>
          </w:p>
        </w:tc>
        <w:tc>
          <w:tcPr>
            <w:tcW w:w="2250" w:type="pct"/>
            <w:vAlign w:val="center"/>
          </w:tcPr>
          <w:p w14:paraId="2F340ACC">
            <w:pPr>
              <w:pStyle w:val="35"/>
              <w:ind w:firstLine="0" w:firstLineChars="0"/>
              <w:rPr>
                <w:rFonts w:hint="eastAsia"/>
              </w:rPr>
            </w:pPr>
            <w:r>
              <w:rPr>
                <w:rFonts w:hint="eastAsia"/>
              </w:rPr>
              <w:t>在原设备基础上改造烟气循环风机、烟气循环管道、烟气冷凝器、煤粉系统，增加氧气预热器、CO</w:t>
            </w:r>
            <w:r>
              <w:rPr>
                <w:rFonts w:hint="eastAsia"/>
                <w:vertAlign w:val="subscript"/>
              </w:rPr>
              <w:t>2</w:t>
            </w:r>
            <w:r>
              <w:rPr>
                <w:rFonts w:hint="eastAsia"/>
              </w:rPr>
              <w:t>纯化系统、CO</w:t>
            </w:r>
            <w:r>
              <w:rPr>
                <w:rFonts w:hint="eastAsia"/>
                <w:vertAlign w:val="subscript"/>
              </w:rPr>
              <w:t>2</w:t>
            </w:r>
            <w:r>
              <w:rPr>
                <w:rFonts w:hint="eastAsia"/>
              </w:rPr>
              <w:t>压缩系统等。</w:t>
            </w:r>
            <w:r>
              <w:rPr>
                <w:rFonts w:hint="eastAsia"/>
                <w:lang w:val="en-US" w:eastAsia="zh-CN"/>
              </w:rPr>
              <w:t>项目实施后，</w:t>
            </w:r>
            <w:r>
              <w:rPr>
                <w:rFonts w:hint="eastAsia"/>
              </w:rPr>
              <w:t>烟气中CO</w:t>
            </w:r>
            <w:r>
              <w:rPr>
                <w:rFonts w:hint="eastAsia"/>
                <w:vertAlign w:val="subscript"/>
              </w:rPr>
              <w:t>2</w:t>
            </w:r>
            <w:r>
              <w:rPr>
                <w:rFonts w:hint="eastAsia"/>
              </w:rPr>
              <w:t>浓度大于等于85%以上，降低煤耗15%左右，二氧化碳回收利用，达到零碳燃煤机组</w:t>
            </w:r>
            <w:r>
              <w:rPr>
                <w:rFonts w:hint="eastAsia"/>
                <w:lang w:val="en-US" w:eastAsia="zh-CN"/>
              </w:rPr>
              <w:t>水平</w:t>
            </w:r>
            <w:r>
              <w:rPr>
                <w:rFonts w:hint="eastAsia"/>
              </w:rPr>
              <w:t>。</w:t>
            </w:r>
          </w:p>
        </w:tc>
        <w:tc>
          <w:tcPr>
            <w:tcW w:w="809" w:type="pct"/>
            <w:vAlign w:val="center"/>
          </w:tcPr>
          <w:p w14:paraId="1EA675F9">
            <w:pPr>
              <w:pStyle w:val="35"/>
              <w:ind w:firstLine="0" w:firstLineChars="0"/>
              <w:jc w:val="center"/>
              <w:rPr>
                <w:rFonts w:hint="eastAsia"/>
              </w:rPr>
            </w:pPr>
            <w:r>
              <w:rPr>
                <w:rFonts w:hint="eastAsia"/>
              </w:rPr>
              <w:t>202</w:t>
            </w:r>
            <w:r>
              <w:rPr>
                <w:rFonts w:hint="eastAsia"/>
                <w:lang w:val="en-US" w:eastAsia="zh-CN"/>
              </w:rPr>
              <w:t>5.10—</w:t>
            </w:r>
            <w:r>
              <w:rPr>
                <w:rFonts w:hint="eastAsia"/>
              </w:rPr>
              <w:t>202</w:t>
            </w:r>
            <w:r>
              <w:rPr>
                <w:rFonts w:hint="eastAsia"/>
                <w:lang w:val="en-US" w:eastAsia="zh-CN"/>
              </w:rPr>
              <w:t>6.12</w:t>
            </w:r>
          </w:p>
        </w:tc>
        <w:tc>
          <w:tcPr>
            <w:tcW w:w="458" w:type="pct"/>
            <w:vAlign w:val="center"/>
          </w:tcPr>
          <w:p w14:paraId="5338908D">
            <w:pPr>
              <w:pStyle w:val="35"/>
              <w:ind w:firstLine="0" w:firstLineChars="0"/>
              <w:jc w:val="center"/>
              <w:rPr>
                <w:rFonts w:hint="default" w:eastAsia="宋体"/>
                <w:lang w:val="en-US" w:eastAsia="zh-CN"/>
              </w:rPr>
            </w:pPr>
            <w:r>
              <w:rPr>
                <w:rFonts w:hint="eastAsia"/>
                <w:lang w:val="en-US" w:eastAsia="zh-CN"/>
              </w:rPr>
              <w:t>1.50</w:t>
            </w:r>
          </w:p>
        </w:tc>
      </w:tr>
      <w:tr w14:paraId="733D1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60" w:type="pct"/>
            <w:vAlign w:val="center"/>
          </w:tcPr>
          <w:p w14:paraId="5131EDD3">
            <w:pPr>
              <w:pStyle w:val="35"/>
              <w:numPr>
                <w:ilvl w:val="-1"/>
                <w:numId w:val="0"/>
              </w:numPr>
              <w:tabs>
                <w:tab w:val="left" w:pos="0"/>
              </w:tabs>
              <w:ind w:left="0" w:firstLine="0"/>
              <w:jc w:val="center"/>
              <w:rPr>
                <w:rFonts w:hint="eastAsia"/>
                <w:lang w:val="en-US" w:eastAsia="zh-CN"/>
              </w:rPr>
            </w:pPr>
            <w:r>
              <w:rPr>
                <w:rFonts w:hint="eastAsia"/>
                <w:lang w:val="en-US" w:eastAsia="zh-CN"/>
              </w:rPr>
              <w:t>（五）</w:t>
            </w:r>
          </w:p>
        </w:tc>
        <w:tc>
          <w:tcPr>
            <w:tcW w:w="4180" w:type="pct"/>
            <w:gridSpan w:val="4"/>
            <w:vAlign w:val="center"/>
          </w:tcPr>
          <w:p w14:paraId="40783D44">
            <w:pPr>
              <w:pStyle w:val="35"/>
              <w:ind w:firstLine="0" w:firstLineChars="0"/>
              <w:jc w:val="center"/>
              <w:rPr>
                <w:rFonts w:hint="default" w:eastAsia="宋体"/>
                <w:lang w:val="en-US" w:eastAsia="zh-CN"/>
              </w:rPr>
            </w:pPr>
            <w:r>
              <w:rPr>
                <w:rFonts w:hint="eastAsia"/>
                <w:lang w:val="en-US" w:eastAsia="zh-CN"/>
              </w:rPr>
              <w:t>绿色建筑交通（6）</w:t>
            </w:r>
          </w:p>
        </w:tc>
        <w:tc>
          <w:tcPr>
            <w:tcW w:w="458" w:type="pct"/>
            <w:vAlign w:val="center"/>
          </w:tcPr>
          <w:p w14:paraId="54937331">
            <w:pPr>
              <w:pStyle w:val="35"/>
              <w:ind w:firstLine="0" w:firstLineChars="0"/>
              <w:jc w:val="center"/>
              <w:rPr>
                <w:rFonts w:hint="default"/>
                <w:lang w:val="en-US" w:eastAsia="zh-CN"/>
              </w:rPr>
            </w:pPr>
            <w:r>
              <w:rPr>
                <w:rFonts w:hint="eastAsia"/>
                <w:lang w:val="en-US" w:eastAsia="zh-CN"/>
              </w:rPr>
              <w:t>31.70</w:t>
            </w:r>
          </w:p>
        </w:tc>
      </w:tr>
      <w:tr w14:paraId="3CA8F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60" w:type="pct"/>
            <w:vAlign w:val="center"/>
          </w:tcPr>
          <w:p w14:paraId="3B5E91BF">
            <w:pPr>
              <w:pStyle w:val="35"/>
              <w:numPr>
                <w:ilvl w:val="0"/>
                <w:numId w:val="3"/>
              </w:numPr>
              <w:ind w:left="454" w:hanging="454"/>
              <w:jc w:val="center"/>
              <w:rPr>
                <w:rFonts w:hint="eastAsia"/>
                <w:lang w:val="en-US" w:eastAsia="zh-CN"/>
              </w:rPr>
            </w:pPr>
          </w:p>
        </w:tc>
        <w:tc>
          <w:tcPr>
            <w:tcW w:w="512" w:type="pct"/>
            <w:vAlign w:val="center"/>
          </w:tcPr>
          <w:p w14:paraId="247CB718">
            <w:pPr>
              <w:pStyle w:val="35"/>
              <w:ind w:firstLine="0" w:firstLineChars="0"/>
              <w:jc w:val="center"/>
              <w:rPr>
                <w:rFonts w:hint="eastAsia"/>
              </w:rPr>
            </w:pPr>
            <w:r>
              <w:rPr>
                <w:rFonts w:hint="eastAsia"/>
              </w:rPr>
              <w:t>上海融和元储能源有限公司车网互动独立共享储能项目</w:t>
            </w:r>
          </w:p>
        </w:tc>
        <w:tc>
          <w:tcPr>
            <w:tcW w:w="608" w:type="pct"/>
            <w:vAlign w:val="center"/>
          </w:tcPr>
          <w:p w14:paraId="62AB0AAE">
            <w:pPr>
              <w:pStyle w:val="35"/>
              <w:ind w:firstLine="0" w:firstLineChars="0"/>
              <w:jc w:val="center"/>
              <w:rPr>
                <w:rFonts w:hint="eastAsia"/>
              </w:rPr>
            </w:pPr>
            <w:r>
              <w:rPr>
                <w:rFonts w:hint="eastAsia"/>
              </w:rPr>
              <w:t>上海融和元储能源有限公司</w:t>
            </w:r>
          </w:p>
        </w:tc>
        <w:tc>
          <w:tcPr>
            <w:tcW w:w="2250" w:type="pct"/>
            <w:vAlign w:val="center"/>
          </w:tcPr>
          <w:p w14:paraId="2C413764">
            <w:pPr>
              <w:pStyle w:val="35"/>
              <w:ind w:firstLine="0" w:firstLineChars="0"/>
              <w:rPr>
                <w:rFonts w:hint="eastAsia"/>
              </w:rPr>
            </w:pPr>
            <w:r>
              <w:rPr>
                <w:rFonts w:hint="eastAsia"/>
              </w:rPr>
              <w:t>规划用地面积200亩，租赁厂房10000平方米，建设500MW/2000MWh网侧、源侧车网互动型独立共享储能项目；195MW/390MWh中新建新能源共享储能项目、2GWh储能系统集成厂项目；车网互动动储电池共享平台、车储共用动储电池银行、绿电交通充换电基础设施及虚拟电厂示范项目。</w:t>
            </w:r>
          </w:p>
        </w:tc>
        <w:tc>
          <w:tcPr>
            <w:tcW w:w="809" w:type="pct"/>
            <w:vAlign w:val="center"/>
          </w:tcPr>
          <w:p w14:paraId="1A58331D">
            <w:pPr>
              <w:pStyle w:val="35"/>
              <w:ind w:firstLine="0" w:firstLineChars="0"/>
              <w:jc w:val="center"/>
              <w:rPr>
                <w:rFonts w:hint="eastAsia"/>
              </w:rPr>
            </w:pPr>
            <w:r>
              <w:rPr>
                <w:rFonts w:hint="eastAsia"/>
              </w:rPr>
              <w:t>202</w:t>
            </w:r>
            <w:r>
              <w:rPr>
                <w:rFonts w:hint="eastAsia"/>
                <w:lang w:val="en-US" w:eastAsia="zh-CN"/>
              </w:rPr>
              <w:t>5.06—</w:t>
            </w:r>
            <w:r>
              <w:rPr>
                <w:rFonts w:hint="eastAsia"/>
              </w:rPr>
              <w:t>202</w:t>
            </w:r>
            <w:r>
              <w:rPr>
                <w:rFonts w:hint="eastAsia"/>
                <w:lang w:val="en-US" w:eastAsia="zh-CN"/>
              </w:rPr>
              <w:t>7.12</w:t>
            </w:r>
          </w:p>
        </w:tc>
        <w:tc>
          <w:tcPr>
            <w:tcW w:w="458" w:type="pct"/>
            <w:vAlign w:val="center"/>
          </w:tcPr>
          <w:p w14:paraId="6B5E3495">
            <w:pPr>
              <w:pStyle w:val="35"/>
              <w:ind w:firstLine="0" w:firstLineChars="0"/>
              <w:jc w:val="center"/>
              <w:rPr>
                <w:rFonts w:hint="default"/>
                <w:lang w:val="en-US" w:eastAsia="zh-CN"/>
              </w:rPr>
            </w:pPr>
            <w:r>
              <w:rPr>
                <w:rFonts w:hint="eastAsia"/>
                <w:lang w:val="en-US" w:eastAsia="zh-CN"/>
              </w:rPr>
              <w:t>24</w:t>
            </w:r>
          </w:p>
        </w:tc>
      </w:tr>
      <w:tr w14:paraId="78336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60" w:type="pct"/>
            <w:vAlign w:val="center"/>
          </w:tcPr>
          <w:p w14:paraId="1EAC7FF1">
            <w:pPr>
              <w:pStyle w:val="35"/>
              <w:numPr>
                <w:ilvl w:val="0"/>
                <w:numId w:val="3"/>
              </w:numPr>
              <w:ind w:left="454" w:hanging="454"/>
              <w:jc w:val="center"/>
              <w:rPr>
                <w:rFonts w:hint="eastAsia"/>
                <w:lang w:val="en-US" w:eastAsia="zh-CN"/>
              </w:rPr>
            </w:pPr>
          </w:p>
        </w:tc>
        <w:tc>
          <w:tcPr>
            <w:tcW w:w="512" w:type="pct"/>
            <w:vAlign w:val="center"/>
          </w:tcPr>
          <w:p w14:paraId="3F6AF7C4">
            <w:pPr>
              <w:pStyle w:val="35"/>
              <w:ind w:firstLine="0" w:firstLineChars="0"/>
              <w:jc w:val="center"/>
              <w:rPr>
                <w:rFonts w:hint="eastAsia"/>
              </w:rPr>
            </w:pPr>
            <w:r>
              <w:rPr>
                <w:rFonts w:hint="eastAsia"/>
              </w:rPr>
              <w:t>辽宁曙光汽车集团氢能重卡组装项目</w:t>
            </w:r>
          </w:p>
        </w:tc>
        <w:tc>
          <w:tcPr>
            <w:tcW w:w="608" w:type="pct"/>
            <w:vAlign w:val="center"/>
          </w:tcPr>
          <w:p w14:paraId="7CC8A038">
            <w:pPr>
              <w:pStyle w:val="35"/>
              <w:ind w:firstLine="0" w:firstLineChars="0"/>
              <w:jc w:val="center"/>
              <w:rPr>
                <w:rFonts w:hint="eastAsia"/>
              </w:rPr>
            </w:pPr>
            <w:r>
              <w:rPr>
                <w:rFonts w:hint="eastAsia"/>
              </w:rPr>
              <w:t>辽宁曙光汽车集团股份有限公司</w:t>
            </w:r>
          </w:p>
        </w:tc>
        <w:tc>
          <w:tcPr>
            <w:tcW w:w="2250" w:type="pct"/>
            <w:vAlign w:val="center"/>
          </w:tcPr>
          <w:p w14:paraId="587830AA">
            <w:pPr>
              <w:pStyle w:val="35"/>
              <w:ind w:firstLine="0" w:firstLineChars="0"/>
              <w:rPr>
                <w:rFonts w:hint="eastAsia"/>
              </w:rPr>
            </w:pPr>
            <w:r>
              <w:rPr>
                <w:rFonts w:hint="eastAsia"/>
              </w:rPr>
              <w:t>建设年产2000辆氢能重卡组装生产线，配套生产氢能电堆、氢能电力系统、储氢罐、加氢站等，并计划在石成立生产公司和物流运输公司，生产车辆企业自持进行运输服务。</w:t>
            </w:r>
          </w:p>
        </w:tc>
        <w:tc>
          <w:tcPr>
            <w:tcW w:w="809" w:type="pct"/>
            <w:vAlign w:val="center"/>
          </w:tcPr>
          <w:p w14:paraId="4E520668">
            <w:pPr>
              <w:pStyle w:val="35"/>
              <w:ind w:firstLine="0" w:firstLineChars="0"/>
              <w:jc w:val="center"/>
              <w:rPr>
                <w:rFonts w:hint="eastAsia"/>
              </w:rPr>
            </w:pPr>
            <w:r>
              <w:rPr>
                <w:rFonts w:hint="eastAsia"/>
              </w:rPr>
              <w:t>202</w:t>
            </w:r>
            <w:r>
              <w:rPr>
                <w:rFonts w:hint="eastAsia"/>
                <w:lang w:val="en-US" w:eastAsia="zh-CN"/>
              </w:rPr>
              <w:t>5.06—</w:t>
            </w:r>
            <w:r>
              <w:rPr>
                <w:rFonts w:hint="eastAsia"/>
              </w:rPr>
              <w:t>202</w:t>
            </w:r>
            <w:r>
              <w:rPr>
                <w:rFonts w:hint="eastAsia"/>
                <w:lang w:val="en-US" w:eastAsia="zh-CN"/>
              </w:rPr>
              <w:t>7.12</w:t>
            </w:r>
          </w:p>
        </w:tc>
        <w:tc>
          <w:tcPr>
            <w:tcW w:w="458" w:type="pct"/>
            <w:vAlign w:val="center"/>
          </w:tcPr>
          <w:p w14:paraId="725154AA">
            <w:pPr>
              <w:pStyle w:val="35"/>
              <w:ind w:firstLine="0" w:firstLineChars="0"/>
              <w:jc w:val="center"/>
              <w:rPr>
                <w:rFonts w:hint="default"/>
                <w:lang w:val="en-US" w:eastAsia="zh-CN"/>
              </w:rPr>
            </w:pPr>
            <w:r>
              <w:rPr>
                <w:rFonts w:hint="eastAsia"/>
                <w:lang w:val="en-US" w:eastAsia="zh-CN"/>
              </w:rPr>
              <w:t>2.50</w:t>
            </w:r>
          </w:p>
        </w:tc>
      </w:tr>
      <w:tr w14:paraId="11014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60" w:type="pct"/>
            <w:vAlign w:val="center"/>
          </w:tcPr>
          <w:p w14:paraId="09C2DF23">
            <w:pPr>
              <w:pStyle w:val="35"/>
              <w:numPr>
                <w:ilvl w:val="0"/>
                <w:numId w:val="3"/>
              </w:numPr>
              <w:ind w:left="454" w:hanging="454"/>
              <w:jc w:val="center"/>
              <w:rPr>
                <w:rFonts w:hint="eastAsia"/>
                <w:lang w:val="en-US" w:eastAsia="zh-CN"/>
              </w:rPr>
            </w:pPr>
          </w:p>
        </w:tc>
        <w:tc>
          <w:tcPr>
            <w:tcW w:w="512" w:type="pct"/>
            <w:vAlign w:val="center"/>
          </w:tcPr>
          <w:p w14:paraId="6808B70F">
            <w:pPr>
              <w:pStyle w:val="35"/>
              <w:ind w:firstLine="0" w:firstLineChars="0"/>
              <w:jc w:val="center"/>
              <w:rPr>
                <w:rFonts w:hint="eastAsia"/>
              </w:rPr>
            </w:pPr>
            <w:r>
              <w:rPr>
                <w:rFonts w:hint="eastAsia"/>
              </w:rPr>
              <w:t>吉利年产5000辆甲醇动力改造汽车项目</w:t>
            </w:r>
          </w:p>
        </w:tc>
        <w:tc>
          <w:tcPr>
            <w:tcW w:w="608" w:type="pct"/>
            <w:vAlign w:val="center"/>
          </w:tcPr>
          <w:p w14:paraId="3DB62A7C">
            <w:pPr>
              <w:pStyle w:val="35"/>
              <w:ind w:firstLine="0" w:firstLineChars="0"/>
              <w:jc w:val="center"/>
              <w:rPr>
                <w:rFonts w:hint="eastAsia"/>
              </w:rPr>
            </w:pPr>
            <w:r>
              <w:rPr>
                <w:rFonts w:hint="eastAsia"/>
              </w:rPr>
              <w:t>吉利汽车集团有限公司</w:t>
            </w:r>
          </w:p>
        </w:tc>
        <w:tc>
          <w:tcPr>
            <w:tcW w:w="2250" w:type="pct"/>
            <w:vAlign w:val="center"/>
          </w:tcPr>
          <w:p w14:paraId="21C049F1">
            <w:pPr>
              <w:pStyle w:val="35"/>
              <w:ind w:firstLine="0" w:firstLineChars="0"/>
              <w:rPr>
                <w:rFonts w:hint="eastAsia"/>
              </w:rPr>
            </w:pPr>
            <w:r>
              <w:rPr>
                <w:rFonts w:hint="eastAsia"/>
              </w:rPr>
              <w:t>租用园区现有厂房建设年产5000辆甲醇动力改造汽车项目，项目建成后预计实现总产值17.5亿元。</w:t>
            </w:r>
          </w:p>
        </w:tc>
        <w:tc>
          <w:tcPr>
            <w:tcW w:w="809" w:type="pct"/>
            <w:vAlign w:val="center"/>
          </w:tcPr>
          <w:p w14:paraId="1DE77E98">
            <w:pPr>
              <w:pStyle w:val="35"/>
              <w:ind w:firstLine="0" w:firstLineChars="0"/>
              <w:jc w:val="center"/>
              <w:rPr>
                <w:rFonts w:hint="eastAsia"/>
              </w:rPr>
            </w:pPr>
            <w:r>
              <w:rPr>
                <w:rFonts w:hint="eastAsia"/>
              </w:rPr>
              <w:t>202</w:t>
            </w:r>
            <w:r>
              <w:rPr>
                <w:rFonts w:hint="eastAsia"/>
                <w:lang w:val="en-US" w:eastAsia="zh-CN"/>
              </w:rPr>
              <w:t>5.05—</w:t>
            </w:r>
            <w:r>
              <w:rPr>
                <w:rFonts w:hint="eastAsia"/>
              </w:rPr>
              <w:t>202</w:t>
            </w:r>
            <w:r>
              <w:rPr>
                <w:rFonts w:hint="eastAsia"/>
                <w:lang w:val="en-US" w:eastAsia="zh-CN"/>
              </w:rPr>
              <w:t>6.12</w:t>
            </w:r>
          </w:p>
        </w:tc>
        <w:tc>
          <w:tcPr>
            <w:tcW w:w="458" w:type="pct"/>
            <w:vAlign w:val="center"/>
          </w:tcPr>
          <w:p w14:paraId="44A05063">
            <w:pPr>
              <w:pStyle w:val="35"/>
              <w:ind w:firstLine="0" w:firstLineChars="0"/>
              <w:jc w:val="center"/>
              <w:rPr>
                <w:rFonts w:hint="default"/>
                <w:lang w:val="en-US" w:eastAsia="zh-CN"/>
              </w:rPr>
            </w:pPr>
            <w:r>
              <w:rPr>
                <w:rFonts w:hint="eastAsia"/>
                <w:lang w:val="en-US" w:eastAsia="zh-CN"/>
              </w:rPr>
              <w:t>2.00</w:t>
            </w:r>
          </w:p>
        </w:tc>
      </w:tr>
      <w:tr w14:paraId="28AB3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60" w:type="pct"/>
            <w:vAlign w:val="center"/>
          </w:tcPr>
          <w:p w14:paraId="111AF8C0">
            <w:pPr>
              <w:pStyle w:val="35"/>
              <w:numPr>
                <w:ilvl w:val="0"/>
                <w:numId w:val="3"/>
              </w:numPr>
              <w:ind w:left="454" w:hanging="454"/>
              <w:jc w:val="center"/>
              <w:rPr>
                <w:rFonts w:hint="eastAsia"/>
                <w:lang w:val="en-US" w:eastAsia="zh-CN"/>
              </w:rPr>
            </w:pPr>
          </w:p>
        </w:tc>
        <w:tc>
          <w:tcPr>
            <w:tcW w:w="512" w:type="pct"/>
            <w:vAlign w:val="center"/>
          </w:tcPr>
          <w:p w14:paraId="546FA687">
            <w:pPr>
              <w:pStyle w:val="35"/>
              <w:ind w:firstLine="0" w:firstLineChars="0"/>
              <w:jc w:val="center"/>
              <w:rPr>
                <w:rFonts w:hint="eastAsia" w:eastAsia="宋体"/>
                <w:lang w:val="en-US" w:eastAsia="zh-CN"/>
              </w:rPr>
            </w:pPr>
            <w:r>
              <w:rPr>
                <w:rFonts w:hint="eastAsia"/>
              </w:rPr>
              <w:t>徐州徐工物流有限公司石河子分公司新能源重卡购置</w:t>
            </w:r>
            <w:r>
              <w:rPr>
                <w:rFonts w:hint="eastAsia"/>
                <w:lang w:val="en-US" w:eastAsia="zh-CN"/>
              </w:rPr>
              <w:t>项目</w:t>
            </w:r>
          </w:p>
        </w:tc>
        <w:tc>
          <w:tcPr>
            <w:tcW w:w="608" w:type="pct"/>
            <w:vAlign w:val="center"/>
          </w:tcPr>
          <w:p w14:paraId="0638B6F6">
            <w:pPr>
              <w:pStyle w:val="35"/>
              <w:ind w:firstLine="0" w:firstLineChars="0"/>
              <w:jc w:val="center"/>
              <w:rPr>
                <w:rFonts w:hint="eastAsia"/>
              </w:rPr>
            </w:pPr>
            <w:r>
              <w:rPr>
                <w:rFonts w:hint="eastAsia"/>
              </w:rPr>
              <w:t>徐州徐工物流有限公司石河子分公司</w:t>
            </w:r>
          </w:p>
        </w:tc>
        <w:tc>
          <w:tcPr>
            <w:tcW w:w="2250" w:type="pct"/>
            <w:vAlign w:val="center"/>
          </w:tcPr>
          <w:p w14:paraId="214E2576">
            <w:pPr>
              <w:pStyle w:val="35"/>
              <w:ind w:firstLine="0" w:firstLineChars="0"/>
              <w:rPr>
                <w:rFonts w:hint="eastAsia"/>
              </w:rPr>
            </w:pPr>
            <w:r>
              <w:rPr>
                <w:rFonts w:hint="eastAsia"/>
              </w:rPr>
              <w:t>共购置新能源重卡车辆200辆，分三期，其中：一期购置50辆新能源重卡车辆，二期购置50辆新能源重卡车辆，三期购置100辆新能源重卡车辆。</w:t>
            </w:r>
          </w:p>
        </w:tc>
        <w:tc>
          <w:tcPr>
            <w:tcW w:w="809" w:type="pct"/>
            <w:vAlign w:val="center"/>
          </w:tcPr>
          <w:p w14:paraId="6FB152CF">
            <w:pPr>
              <w:pStyle w:val="35"/>
              <w:ind w:firstLine="0" w:firstLineChars="0"/>
              <w:jc w:val="center"/>
              <w:rPr>
                <w:rFonts w:hint="eastAsia"/>
              </w:rPr>
            </w:pPr>
            <w:r>
              <w:rPr>
                <w:rFonts w:hint="eastAsia"/>
              </w:rPr>
              <w:t>202</w:t>
            </w:r>
            <w:r>
              <w:rPr>
                <w:rFonts w:hint="eastAsia"/>
                <w:lang w:val="en-US" w:eastAsia="zh-CN"/>
              </w:rPr>
              <w:t>5.03—</w:t>
            </w:r>
            <w:r>
              <w:rPr>
                <w:rFonts w:hint="eastAsia"/>
              </w:rPr>
              <w:t>202</w:t>
            </w:r>
            <w:r>
              <w:rPr>
                <w:rFonts w:hint="eastAsia"/>
                <w:lang w:val="en-US" w:eastAsia="zh-CN"/>
              </w:rPr>
              <w:t>5.12</w:t>
            </w:r>
          </w:p>
        </w:tc>
        <w:tc>
          <w:tcPr>
            <w:tcW w:w="458" w:type="pct"/>
            <w:vAlign w:val="center"/>
          </w:tcPr>
          <w:p w14:paraId="042060D3">
            <w:pPr>
              <w:pStyle w:val="35"/>
              <w:ind w:firstLine="0" w:firstLineChars="0"/>
              <w:jc w:val="center"/>
              <w:rPr>
                <w:rFonts w:hint="default"/>
                <w:lang w:val="en-US" w:eastAsia="zh-CN"/>
              </w:rPr>
            </w:pPr>
            <w:r>
              <w:rPr>
                <w:rFonts w:hint="eastAsia"/>
                <w:lang w:val="en-US" w:eastAsia="zh-CN"/>
              </w:rPr>
              <w:t>1.20</w:t>
            </w:r>
          </w:p>
        </w:tc>
      </w:tr>
      <w:tr w14:paraId="6A4F4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60" w:type="pct"/>
            <w:vAlign w:val="center"/>
          </w:tcPr>
          <w:p w14:paraId="75D30A54">
            <w:pPr>
              <w:pStyle w:val="35"/>
              <w:numPr>
                <w:ilvl w:val="0"/>
                <w:numId w:val="3"/>
              </w:numPr>
              <w:ind w:left="454" w:hanging="454"/>
              <w:jc w:val="center"/>
              <w:rPr>
                <w:rFonts w:hint="eastAsia"/>
                <w:lang w:val="en-US" w:eastAsia="zh-CN"/>
              </w:rPr>
            </w:pPr>
          </w:p>
        </w:tc>
        <w:tc>
          <w:tcPr>
            <w:tcW w:w="512" w:type="pct"/>
            <w:vAlign w:val="center"/>
          </w:tcPr>
          <w:p w14:paraId="7DC72BFA">
            <w:pPr>
              <w:pStyle w:val="35"/>
              <w:ind w:firstLine="0" w:firstLineChars="0"/>
              <w:jc w:val="center"/>
              <w:rPr>
                <w:rFonts w:hint="eastAsia"/>
              </w:rPr>
            </w:pPr>
            <w:r>
              <w:rPr>
                <w:rFonts w:hint="eastAsia"/>
              </w:rPr>
              <w:t>青岛同辉汽车技术有限公司年改造1000辆新能源汽车项目</w:t>
            </w:r>
          </w:p>
        </w:tc>
        <w:tc>
          <w:tcPr>
            <w:tcW w:w="608" w:type="pct"/>
            <w:vAlign w:val="center"/>
          </w:tcPr>
          <w:p w14:paraId="46693C1A">
            <w:pPr>
              <w:pStyle w:val="35"/>
              <w:ind w:firstLine="0" w:firstLineChars="0"/>
              <w:jc w:val="center"/>
              <w:rPr>
                <w:rFonts w:hint="eastAsia"/>
              </w:rPr>
            </w:pPr>
            <w:r>
              <w:rPr>
                <w:rFonts w:hint="eastAsia"/>
              </w:rPr>
              <w:t>青岛同辉汽车技术有限公司</w:t>
            </w:r>
          </w:p>
        </w:tc>
        <w:tc>
          <w:tcPr>
            <w:tcW w:w="2250" w:type="pct"/>
            <w:vAlign w:val="center"/>
          </w:tcPr>
          <w:p w14:paraId="1929380E">
            <w:pPr>
              <w:pStyle w:val="35"/>
              <w:ind w:firstLine="0" w:firstLineChars="0"/>
              <w:rPr>
                <w:rFonts w:hint="eastAsia"/>
              </w:rPr>
            </w:pPr>
            <w:r>
              <w:rPr>
                <w:rFonts w:hint="eastAsia"/>
              </w:rPr>
              <w:t>建设年改造1000辆新能源汽车生产线项目，包括新能源环卫汽车、新能源物流运输车以及新能源矿卡等。</w:t>
            </w:r>
          </w:p>
        </w:tc>
        <w:tc>
          <w:tcPr>
            <w:tcW w:w="809" w:type="pct"/>
            <w:vAlign w:val="center"/>
          </w:tcPr>
          <w:p w14:paraId="32E3D253">
            <w:pPr>
              <w:pStyle w:val="35"/>
              <w:ind w:firstLine="0" w:firstLineChars="0"/>
              <w:jc w:val="center"/>
              <w:rPr>
                <w:rFonts w:hint="eastAsia"/>
              </w:rPr>
            </w:pPr>
            <w:r>
              <w:rPr>
                <w:rFonts w:hint="eastAsia"/>
              </w:rPr>
              <w:t>202</w:t>
            </w:r>
            <w:r>
              <w:rPr>
                <w:rFonts w:hint="eastAsia"/>
                <w:lang w:val="en-US" w:eastAsia="zh-CN"/>
              </w:rPr>
              <w:t>5.06—</w:t>
            </w:r>
            <w:r>
              <w:rPr>
                <w:rFonts w:hint="eastAsia"/>
              </w:rPr>
              <w:t>202</w:t>
            </w:r>
            <w:r>
              <w:rPr>
                <w:rFonts w:hint="eastAsia"/>
                <w:lang w:val="en-US" w:eastAsia="zh-CN"/>
              </w:rPr>
              <w:t>7.12</w:t>
            </w:r>
          </w:p>
        </w:tc>
        <w:tc>
          <w:tcPr>
            <w:tcW w:w="458" w:type="pct"/>
            <w:vAlign w:val="center"/>
          </w:tcPr>
          <w:p w14:paraId="4339551E">
            <w:pPr>
              <w:pStyle w:val="35"/>
              <w:ind w:firstLine="0" w:firstLineChars="0"/>
              <w:jc w:val="center"/>
              <w:rPr>
                <w:rFonts w:hint="default"/>
                <w:lang w:val="en-US" w:eastAsia="zh-CN"/>
              </w:rPr>
            </w:pPr>
            <w:r>
              <w:rPr>
                <w:rFonts w:hint="eastAsia"/>
                <w:lang w:val="en-US" w:eastAsia="zh-CN"/>
              </w:rPr>
              <w:t>1.00</w:t>
            </w:r>
          </w:p>
        </w:tc>
      </w:tr>
      <w:tr w14:paraId="73CE2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60" w:type="pct"/>
            <w:vAlign w:val="center"/>
          </w:tcPr>
          <w:p w14:paraId="3EE585EE">
            <w:pPr>
              <w:pStyle w:val="35"/>
              <w:numPr>
                <w:ilvl w:val="0"/>
                <w:numId w:val="3"/>
              </w:numPr>
              <w:ind w:left="454" w:hanging="454"/>
              <w:jc w:val="center"/>
              <w:rPr>
                <w:rFonts w:hint="eastAsia"/>
                <w:lang w:val="en-US" w:eastAsia="zh-CN"/>
              </w:rPr>
            </w:pPr>
          </w:p>
        </w:tc>
        <w:tc>
          <w:tcPr>
            <w:tcW w:w="512" w:type="pct"/>
            <w:vAlign w:val="center"/>
          </w:tcPr>
          <w:p w14:paraId="027F49F7">
            <w:pPr>
              <w:pStyle w:val="35"/>
              <w:ind w:firstLine="0" w:firstLineChars="0"/>
              <w:jc w:val="center"/>
              <w:rPr>
                <w:rFonts w:hint="eastAsia"/>
              </w:rPr>
            </w:pPr>
            <w:r>
              <w:rPr>
                <w:rFonts w:hint="eastAsia"/>
              </w:rPr>
              <w:t>开沃新能源汽车集团股份有限公司年产2000辆新能源汽车组装项目</w:t>
            </w:r>
          </w:p>
        </w:tc>
        <w:tc>
          <w:tcPr>
            <w:tcW w:w="608" w:type="pct"/>
            <w:vAlign w:val="center"/>
          </w:tcPr>
          <w:p w14:paraId="24399DD8">
            <w:pPr>
              <w:pStyle w:val="35"/>
              <w:ind w:firstLine="0" w:firstLineChars="0"/>
              <w:jc w:val="center"/>
              <w:rPr>
                <w:rFonts w:hint="eastAsia"/>
              </w:rPr>
            </w:pPr>
            <w:r>
              <w:rPr>
                <w:rFonts w:hint="eastAsia"/>
              </w:rPr>
              <w:t>开沃新能源汽车集团股份有限公司</w:t>
            </w:r>
          </w:p>
        </w:tc>
        <w:tc>
          <w:tcPr>
            <w:tcW w:w="2250" w:type="pct"/>
            <w:vAlign w:val="center"/>
          </w:tcPr>
          <w:p w14:paraId="4501918F">
            <w:pPr>
              <w:pStyle w:val="35"/>
              <w:ind w:firstLine="0" w:firstLineChars="0"/>
              <w:rPr>
                <w:rFonts w:hint="eastAsia"/>
              </w:rPr>
            </w:pPr>
            <w:r>
              <w:rPr>
                <w:rFonts w:hint="eastAsia"/>
              </w:rPr>
              <w:t>项目租赁厂房面积1万平方米，层高13m，在石河子投资建设新能源重卡、公共汽车、矿卡等商用车组装项目，前期以本地市场为基地，向西辐射中亚地区。</w:t>
            </w:r>
          </w:p>
        </w:tc>
        <w:tc>
          <w:tcPr>
            <w:tcW w:w="809" w:type="pct"/>
            <w:vAlign w:val="center"/>
          </w:tcPr>
          <w:p w14:paraId="258FCF44">
            <w:pPr>
              <w:pStyle w:val="35"/>
              <w:ind w:firstLine="0" w:firstLineChars="0"/>
              <w:jc w:val="center"/>
              <w:rPr>
                <w:rFonts w:hint="default"/>
                <w:lang w:val="en-US"/>
              </w:rPr>
            </w:pPr>
            <w:r>
              <w:rPr>
                <w:rFonts w:hint="eastAsia"/>
              </w:rPr>
              <w:t>202</w:t>
            </w:r>
            <w:r>
              <w:rPr>
                <w:rFonts w:hint="eastAsia"/>
                <w:lang w:val="en-US" w:eastAsia="zh-CN"/>
              </w:rPr>
              <w:t>5.10—</w:t>
            </w:r>
            <w:r>
              <w:rPr>
                <w:rFonts w:hint="eastAsia"/>
              </w:rPr>
              <w:t>202</w:t>
            </w:r>
            <w:r>
              <w:rPr>
                <w:rFonts w:hint="eastAsia"/>
                <w:lang w:val="en-US" w:eastAsia="zh-CN"/>
              </w:rPr>
              <w:t>6.10</w:t>
            </w:r>
          </w:p>
        </w:tc>
        <w:tc>
          <w:tcPr>
            <w:tcW w:w="458" w:type="pct"/>
            <w:vAlign w:val="center"/>
          </w:tcPr>
          <w:p w14:paraId="29CA48AB">
            <w:pPr>
              <w:pStyle w:val="35"/>
              <w:ind w:firstLine="0" w:firstLineChars="0"/>
              <w:jc w:val="center"/>
              <w:rPr>
                <w:rFonts w:hint="default"/>
                <w:lang w:val="en-US" w:eastAsia="zh-CN"/>
              </w:rPr>
            </w:pPr>
            <w:r>
              <w:rPr>
                <w:rFonts w:hint="eastAsia"/>
                <w:lang w:val="en-US" w:eastAsia="zh-CN"/>
              </w:rPr>
              <w:t>1.00</w:t>
            </w:r>
          </w:p>
        </w:tc>
      </w:tr>
      <w:tr w14:paraId="0C866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60" w:type="pct"/>
            <w:vAlign w:val="center"/>
          </w:tcPr>
          <w:p w14:paraId="1DBDBD5C">
            <w:pPr>
              <w:pStyle w:val="35"/>
              <w:numPr>
                <w:ilvl w:val="-1"/>
                <w:numId w:val="0"/>
              </w:numPr>
              <w:tabs>
                <w:tab w:val="left" w:pos="0"/>
              </w:tabs>
              <w:ind w:left="0"/>
              <w:jc w:val="center"/>
            </w:pPr>
            <w:r>
              <w:rPr>
                <w:rFonts w:hint="eastAsia"/>
                <w:lang w:eastAsia="zh-CN"/>
              </w:rPr>
              <w:t>（</w:t>
            </w:r>
            <w:r>
              <w:rPr>
                <w:rFonts w:hint="eastAsia"/>
                <w:lang w:val="en-US" w:eastAsia="zh-CN"/>
              </w:rPr>
              <w:t>六</w:t>
            </w:r>
            <w:r>
              <w:rPr>
                <w:rFonts w:hint="eastAsia"/>
                <w:lang w:eastAsia="zh-CN"/>
              </w:rPr>
              <w:t>）</w:t>
            </w:r>
          </w:p>
        </w:tc>
        <w:tc>
          <w:tcPr>
            <w:tcW w:w="4180" w:type="pct"/>
            <w:gridSpan w:val="4"/>
            <w:vAlign w:val="center"/>
          </w:tcPr>
          <w:p w14:paraId="66F5674A">
            <w:pPr>
              <w:pStyle w:val="35"/>
              <w:jc w:val="center"/>
            </w:pPr>
            <w:r>
              <w:rPr>
                <w:rFonts w:hint="eastAsia"/>
              </w:rPr>
              <w:t>循环经济发展（</w:t>
            </w:r>
            <w:r>
              <w:rPr>
                <w:rFonts w:hint="eastAsia"/>
                <w:lang w:val="en-US" w:eastAsia="zh-CN"/>
              </w:rPr>
              <w:t>13</w:t>
            </w:r>
            <w:r>
              <w:rPr>
                <w:rFonts w:hint="eastAsia"/>
              </w:rPr>
              <w:t>）</w:t>
            </w:r>
          </w:p>
        </w:tc>
        <w:tc>
          <w:tcPr>
            <w:tcW w:w="458" w:type="pct"/>
            <w:vAlign w:val="center"/>
          </w:tcPr>
          <w:p w14:paraId="267AC7E2">
            <w:pPr>
              <w:pStyle w:val="35"/>
              <w:jc w:val="center"/>
              <w:rPr>
                <w:rFonts w:hint="default" w:eastAsia="宋体"/>
                <w:lang w:val="en-US" w:eastAsia="zh-CN"/>
              </w:rPr>
            </w:pPr>
            <w:r>
              <w:rPr>
                <w:rFonts w:hint="eastAsia"/>
                <w:lang w:val="en-US" w:eastAsia="zh-CN"/>
              </w:rPr>
              <w:t>40.27</w:t>
            </w:r>
          </w:p>
        </w:tc>
      </w:tr>
      <w:tr w14:paraId="458A1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60" w:type="pct"/>
            <w:vAlign w:val="center"/>
          </w:tcPr>
          <w:p w14:paraId="3CEF5E77">
            <w:pPr>
              <w:pStyle w:val="35"/>
              <w:numPr>
                <w:ilvl w:val="0"/>
                <w:numId w:val="3"/>
              </w:numPr>
              <w:ind w:left="454" w:hanging="454"/>
              <w:jc w:val="center"/>
              <w:rPr>
                <w:rFonts w:hint="eastAsia"/>
                <w:lang w:val="en-US" w:eastAsia="zh-CN"/>
              </w:rPr>
            </w:pPr>
          </w:p>
        </w:tc>
        <w:tc>
          <w:tcPr>
            <w:tcW w:w="512" w:type="pct"/>
            <w:vAlign w:val="center"/>
          </w:tcPr>
          <w:p w14:paraId="6949B590">
            <w:pPr>
              <w:pStyle w:val="35"/>
              <w:ind w:firstLine="0" w:firstLineChars="0"/>
              <w:jc w:val="center"/>
              <w:rPr>
                <w:rFonts w:hint="eastAsia"/>
              </w:rPr>
            </w:pPr>
            <w:r>
              <w:rPr>
                <w:rFonts w:hint="eastAsia"/>
              </w:rPr>
              <w:t>新疆越隆达再生资源科技有限公司“建筑固废+光伏管桩”示范项目</w:t>
            </w:r>
          </w:p>
        </w:tc>
        <w:tc>
          <w:tcPr>
            <w:tcW w:w="608" w:type="pct"/>
            <w:vAlign w:val="center"/>
          </w:tcPr>
          <w:p w14:paraId="417298C7">
            <w:pPr>
              <w:pStyle w:val="35"/>
              <w:ind w:firstLine="0" w:firstLineChars="0"/>
              <w:jc w:val="center"/>
              <w:rPr>
                <w:rFonts w:hint="eastAsia"/>
              </w:rPr>
            </w:pPr>
            <w:r>
              <w:rPr>
                <w:rFonts w:hint="eastAsia"/>
              </w:rPr>
              <w:t>新疆越隆达再生资源科技有限公司</w:t>
            </w:r>
          </w:p>
        </w:tc>
        <w:tc>
          <w:tcPr>
            <w:tcW w:w="2250" w:type="pct"/>
            <w:vAlign w:val="center"/>
          </w:tcPr>
          <w:p w14:paraId="61FC2D58">
            <w:pPr>
              <w:pStyle w:val="35"/>
              <w:ind w:firstLine="0" w:firstLineChars="0"/>
              <w:rPr>
                <w:rFonts w:hint="eastAsia"/>
                <w:lang w:val="en-US" w:eastAsia="zh-CN"/>
              </w:rPr>
            </w:pPr>
            <w:r>
              <w:rPr>
                <w:rFonts w:hint="eastAsia"/>
              </w:rPr>
              <w:t>项目总计划投资3.8亿元</w:t>
            </w:r>
            <w:r>
              <w:rPr>
                <w:rFonts w:hint="eastAsia"/>
                <w:lang w:eastAsia="zh-CN"/>
              </w:rPr>
              <w:t>，</w:t>
            </w:r>
            <w:r>
              <w:rPr>
                <w:rFonts w:hint="eastAsia"/>
              </w:rPr>
              <w:t>规划用地191亩。其中</w:t>
            </w:r>
            <w:r>
              <w:rPr>
                <w:rFonts w:hint="eastAsia"/>
                <w:lang w:eastAsia="zh-CN"/>
              </w:rPr>
              <w:t>，</w:t>
            </w:r>
            <w:r>
              <w:rPr>
                <w:rFonts w:hint="eastAsia"/>
              </w:rPr>
              <w:t>年处理150万吨建筑垃圾、工业固废等再生骨料+30万吨市政污泥+综合利用延伸产业计划投资2.3亿元；年产700万米太阳能光伏管桩项目计划投资1.5亿元。</w:t>
            </w:r>
          </w:p>
        </w:tc>
        <w:tc>
          <w:tcPr>
            <w:tcW w:w="809" w:type="pct"/>
            <w:vAlign w:val="center"/>
          </w:tcPr>
          <w:p w14:paraId="5D83E0B1">
            <w:pPr>
              <w:pStyle w:val="35"/>
              <w:ind w:firstLine="0" w:firstLineChars="0"/>
              <w:jc w:val="center"/>
              <w:rPr>
                <w:rFonts w:hint="eastAsia"/>
              </w:rPr>
            </w:pPr>
            <w:r>
              <w:rPr>
                <w:rFonts w:hint="eastAsia"/>
              </w:rPr>
              <w:t>202</w:t>
            </w:r>
            <w:r>
              <w:rPr>
                <w:rFonts w:hint="eastAsia"/>
                <w:lang w:val="en-US" w:eastAsia="zh-CN"/>
              </w:rPr>
              <w:t>5.08—</w:t>
            </w:r>
            <w:r>
              <w:rPr>
                <w:rFonts w:hint="eastAsia"/>
              </w:rPr>
              <w:t>202</w:t>
            </w:r>
            <w:r>
              <w:rPr>
                <w:rFonts w:hint="eastAsia"/>
                <w:lang w:val="en-US" w:eastAsia="zh-CN"/>
              </w:rPr>
              <w:t>8.12</w:t>
            </w:r>
          </w:p>
        </w:tc>
        <w:tc>
          <w:tcPr>
            <w:tcW w:w="458" w:type="pct"/>
            <w:vAlign w:val="center"/>
          </w:tcPr>
          <w:p w14:paraId="30B8BFE2">
            <w:pPr>
              <w:pStyle w:val="35"/>
              <w:ind w:firstLine="0" w:firstLineChars="0"/>
              <w:jc w:val="center"/>
              <w:rPr>
                <w:rFonts w:hint="default"/>
                <w:lang w:val="en-US" w:eastAsia="zh-CN"/>
              </w:rPr>
            </w:pPr>
            <w:r>
              <w:rPr>
                <w:rFonts w:hint="eastAsia"/>
                <w:lang w:val="en-US" w:eastAsia="zh-CN"/>
              </w:rPr>
              <w:t>3.80</w:t>
            </w:r>
          </w:p>
        </w:tc>
      </w:tr>
      <w:tr w14:paraId="18F21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60" w:type="pct"/>
            <w:vAlign w:val="center"/>
          </w:tcPr>
          <w:p w14:paraId="4EADECA7">
            <w:pPr>
              <w:pStyle w:val="35"/>
              <w:numPr>
                <w:ilvl w:val="0"/>
                <w:numId w:val="3"/>
              </w:numPr>
              <w:ind w:left="454" w:hanging="454"/>
              <w:jc w:val="center"/>
              <w:rPr>
                <w:rFonts w:hint="default"/>
                <w:lang w:val="en-US" w:eastAsia="zh-CN"/>
              </w:rPr>
            </w:pPr>
          </w:p>
        </w:tc>
        <w:tc>
          <w:tcPr>
            <w:tcW w:w="512" w:type="pct"/>
            <w:vAlign w:val="center"/>
          </w:tcPr>
          <w:p w14:paraId="503C9D22">
            <w:pPr>
              <w:pStyle w:val="35"/>
              <w:ind w:firstLine="0" w:firstLineChars="0"/>
              <w:jc w:val="center"/>
              <w:rPr>
                <w:rFonts w:hint="eastAsia"/>
              </w:rPr>
            </w:pPr>
            <w:r>
              <w:rPr>
                <w:rFonts w:hint="eastAsia"/>
              </w:rPr>
              <w:t>新疆大全新能源股份有限公司多晶硅装置能效提升改造项目</w:t>
            </w:r>
          </w:p>
        </w:tc>
        <w:tc>
          <w:tcPr>
            <w:tcW w:w="608" w:type="pct"/>
            <w:vMerge w:val="restart"/>
            <w:vAlign w:val="center"/>
          </w:tcPr>
          <w:p w14:paraId="3EC6AF61">
            <w:pPr>
              <w:pStyle w:val="35"/>
              <w:ind w:firstLine="0" w:firstLineChars="0"/>
              <w:jc w:val="center"/>
              <w:rPr>
                <w:rFonts w:hint="eastAsia"/>
              </w:rPr>
            </w:pPr>
            <w:r>
              <w:rPr>
                <w:rFonts w:hint="eastAsia"/>
              </w:rPr>
              <w:t>新疆大全新能源股份有限公司</w:t>
            </w:r>
          </w:p>
        </w:tc>
        <w:tc>
          <w:tcPr>
            <w:tcW w:w="2250" w:type="pct"/>
            <w:vAlign w:val="center"/>
          </w:tcPr>
          <w:p w14:paraId="2AAE93ED">
            <w:pPr>
              <w:pStyle w:val="35"/>
              <w:ind w:firstLine="0" w:firstLineChars="0"/>
              <w:rPr>
                <w:rFonts w:hint="eastAsia"/>
                <w:lang w:val="en-US" w:eastAsia="zh-CN"/>
              </w:rPr>
            </w:pPr>
            <w:r>
              <w:rPr>
                <w:rFonts w:hint="eastAsia"/>
                <w:lang w:val="en-US" w:eastAsia="zh-CN"/>
              </w:rPr>
              <w:t>建设内容：本项目技改前设计产能为9.5万吨/年，其中一期0.3万吨/年，二期0.9万吨/年，三期四期1.3万吨/年，五期3.5万吨/年，六期3.5万吨/年，一至六期建设中均采用改良西门子法加冷氢化生产技术。改建后设计产能为13万吨/年，更新高纯硅料装置配套精馏装置、冷氢化生产线及配套渣浆处理装置、中间罐区、给排水装置及循环水外排污水减排装置；改造还原尾气回收装置、还原水系统、产品整理装置、氢气深度回收装置、还原炉、三废处理、公用工程、消防应急、安全消防、中央控制室等，满足13万吨产能需求。</w:t>
            </w:r>
          </w:p>
        </w:tc>
        <w:tc>
          <w:tcPr>
            <w:tcW w:w="809" w:type="pct"/>
            <w:vAlign w:val="center"/>
          </w:tcPr>
          <w:p w14:paraId="7A378F60">
            <w:pPr>
              <w:pStyle w:val="35"/>
              <w:ind w:firstLine="0" w:firstLineChars="0"/>
              <w:jc w:val="center"/>
              <w:rPr>
                <w:rFonts w:hint="eastAsia"/>
              </w:rPr>
            </w:pPr>
            <w:r>
              <w:rPr>
                <w:rFonts w:hint="eastAsia"/>
              </w:rPr>
              <w:t>202</w:t>
            </w:r>
            <w:r>
              <w:rPr>
                <w:rFonts w:hint="eastAsia"/>
                <w:lang w:val="en-US" w:eastAsia="zh-CN"/>
              </w:rPr>
              <w:t>4.01—</w:t>
            </w:r>
            <w:r>
              <w:rPr>
                <w:rFonts w:hint="eastAsia"/>
              </w:rPr>
              <w:t>202</w:t>
            </w:r>
            <w:r>
              <w:rPr>
                <w:rFonts w:hint="eastAsia"/>
                <w:lang w:val="en-US" w:eastAsia="zh-CN"/>
              </w:rPr>
              <w:t>5.12</w:t>
            </w:r>
          </w:p>
        </w:tc>
        <w:tc>
          <w:tcPr>
            <w:tcW w:w="458" w:type="pct"/>
            <w:vAlign w:val="center"/>
          </w:tcPr>
          <w:p w14:paraId="675B07AB">
            <w:pPr>
              <w:pStyle w:val="35"/>
              <w:ind w:firstLine="0" w:firstLineChars="0"/>
              <w:jc w:val="center"/>
              <w:rPr>
                <w:rFonts w:hint="eastAsia"/>
              </w:rPr>
            </w:pPr>
            <w:r>
              <w:rPr>
                <w:rFonts w:hint="eastAsia"/>
                <w:lang w:val="en-US" w:eastAsia="zh-CN"/>
              </w:rPr>
              <w:t>11.26</w:t>
            </w:r>
          </w:p>
        </w:tc>
      </w:tr>
      <w:tr w14:paraId="137B2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60" w:type="pct"/>
            <w:vAlign w:val="center"/>
          </w:tcPr>
          <w:p w14:paraId="2818ADAC">
            <w:pPr>
              <w:pStyle w:val="35"/>
              <w:numPr>
                <w:ilvl w:val="0"/>
                <w:numId w:val="3"/>
              </w:numPr>
              <w:ind w:left="454" w:hanging="454"/>
              <w:jc w:val="center"/>
              <w:rPr>
                <w:rFonts w:hint="default"/>
                <w:lang w:val="en-US" w:eastAsia="zh-CN"/>
              </w:rPr>
            </w:pPr>
          </w:p>
        </w:tc>
        <w:tc>
          <w:tcPr>
            <w:tcW w:w="512" w:type="pct"/>
            <w:vAlign w:val="center"/>
          </w:tcPr>
          <w:p w14:paraId="7A470E65">
            <w:pPr>
              <w:pStyle w:val="35"/>
              <w:ind w:firstLine="0" w:firstLineChars="0"/>
              <w:jc w:val="center"/>
              <w:rPr>
                <w:rFonts w:hint="eastAsia"/>
              </w:rPr>
            </w:pPr>
            <w:r>
              <w:rPr>
                <w:rFonts w:hint="eastAsia"/>
              </w:rPr>
              <w:t>新疆大全新能源股份有限公司</w:t>
            </w:r>
            <w:r>
              <w:rPr>
                <w:rFonts w:hint="eastAsia"/>
                <w:lang w:val="en-US" w:eastAsia="zh-CN"/>
              </w:rPr>
              <w:t>节能减排综合利用项目</w:t>
            </w:r>
          </w:p>
        </w:tc>
        <w:tc>
          <w:tcPr>
            <w:tcW w:w="608" w:type="pct"/>
            <w:vMerge w:val="continue"/>
            <w:vAlign w:val="center"/>
          </w:tcPr>
          <w:p w14:paraId="0B87A99A">
            <w:pPr>
              <w:pStyle w:val="35"/>
              <w:ind w:firstLine="0" w:firstLineChars="0"/>
              <w:jc w:val="center"/>
              <w:rPr>
                <w:rFonts w:hint="eastAsia"/>
              </w:rPr>
            </w:pPr>
          </w:p>
        </w:tc>
        <w:tc>
          <w:tcPr>
            <w:tcW w:w="2250" w:type="pct"/>
            <w:vAlign w:val="center"/>
          </w:tcPr>
          <w:p w14:paraId="50EDC2EF">
            <w:pPr>
              <w:pStyle w:val="35"/>
              <w:rPr>
                <w:rFonts w:hint="eastAsia"/>
                <w:lang w:val="en-US" w:eastAsia="zh-CN"/>
              </w:rPr>
            </w:pPr>
            <w:r>
              <w:rPr>
                <w:rFonts w:hint="eastAsia"/>
                <w:lang w:val="en-US" w:eastAsia="zh-CN"/>
              </w:rPr>
              <w:t>建设内容：（1）循环水中水利用装置：购置中水调节系统、过滤系统、反渗透系统、MVR蒸发结晶系统、加药系统、中水输送系统，新增设备134台；（2）高盐废水回收装置：改造高盐废水MVR蒸发结晶盐回收利用装置，配套配电室、水暖电管线等附属设施；（3）蒸汽梯级回收利用装置：购置2台蒸汽压缩机及配套装置。</w:t>
            </w:r>
          </w:p>
          <w:p w14:paraId="49D9EE9D">
            <w:pPr>
              <w:pStyle w:val="35"/>
              <w:ind w:firstLine="0" w:firstLineChars="0"/>
              <w:rPr>
                <w:rFonts w:hint="eastAsia"/>
                <w:lang w:val="en-US" w:eastAsia="zh-CN"/>
              </w:rPr>
            </w:pPr>
            <w:r>
              <w:rPr>
                <w:rFonts w:hint="eastAsia"/>
                <w:lang w:val="en-US" w:eastAsia="zh-CN"/>
              </w:rPr>
              <w:t>预期成效：（1）新建1套循环水中水回收装置，中水处理量100</w:t>
            </w:r>
            <w:r>
              <w:rPr>
                <w:rFonts w:hint="default" w:ascii="Times New Roman" w:hAnsi="Times New Roman" w:cs="Times New Roman"/>
                <w:lang w:val="en-US" w:eastAsia="zh-CN"/>
              </w:rPr>
              <w:t>m</w:t>
            </w:r>
            <w:r>
              <w:rPr>
                <w:rFonts w:hint="eastAsia" w:ascii="Times New Roman" w:hAnsi="Times New Roman" w:cs="Times New Roman"/>
                <w:vertAlign w:val="superscript"/>
                <w:lang w:val="en-US" w:eastAsia="zh-CN"/>
              </w:rPr>
              <w:t>3</w:t>
            </w:r>
            <w:r>
              <w:rPr>
                <w:rFonts w:hint="default" w:ascii="Times New Roman" w:hAnsi="Times New Roman" w:cs="Times New Roman"/>
                <w:lang w:val="en-US" w:eastAsia="zh-CN"/>
              </w:rPr>
              <w:t>/h</w:t>
            </w:r>
            <w:r>
              <w:rPr>
                <w:rFonts w:hint="eastAsia" w:cs="Times New Roman"/>
                <w:lang w:val="en-US" w:eastAsia="zh-CN"/>
              </w:rPr>
              <w:t>，</w:t>
            </w:r>
            <w:r>
              <w:rPr>
                <w:rFonts w:hint="eastAsia"/>
                <w:lang w:val="en-US" w:eastAsia="zh-CN"/>
              </w:rPr>
              <w:t>可以减少循环水中水的排放，综合利用后减少废水处置费用1153万元；（2）高盐废水回收装置：改造高盐废水MVR蒸发结晶盐回收装置，满足处理高盐废水10万吨/年；（3）蒸汽梯级回收利用项目：蒸汽梯级利用后减少中压蒸汽用量35.2万吨/年。项目建成后降低企业运营成本，减少废水排放，助推企业高质量发展。</w:t>
            </w:r>
          </w:p>
        </w:tc>
        <w:tc>
          <w:tcPr>
            <w:tcW w:w="809" w:type="pct"/>
            <w:vAlign w:val="center"/>
          </w:tcPr>
          <w:p w14:paraId="18317371">
            <w:pPr>
              <w:pStyle w:val="35"/>
              <w:ind w:firstLine="0" w:firstLineChars="0"/>
              <w:jc w:val="center"/>
              <w:rPr>
                <w:rFonts w:hint="eastAsia"/>
              </w:rPr>
            </w:pPr>
            <w:r>
              <w:rPr>
                <w:rFonts w:hint="eastAsia"/>
              </w:rPr>
              <w:t>2023</w:t>
            </w:r>
            <w:r>
              <w:rPr>
                <w:rFonts w:hint="eastAsia"/>
                <w:lang w:val="en-US" w:eastAsia="zh-CN"/>
              </w:rPr>
              <w:t>.04—</w:t>
            </w:r>
            <w:r>
              <w:rPr>
                <w:rFonts w:hint="eastAsia"/>
              </w:rPr>
              <w:t>2025</w:t>
            </w:r>
            <w:r>
              <w:rPr>
                <w:rFonts w:hint="eastAsia"/>
                <w:lang w:val="en-US" w:eastAsia="zh-CN"/>
              </w:rPr>
              <w:t>.04</w:t>
            </w:r>
          </w:p>
        </w:tc>
        <w:tc>
          <w:tcPr>
            <w:tcW w:w="458" w:type="pct"/>
            <w:vAlign w:val="center"/>
          </w:tcPr>
          <w:p w14:paraId="0F44BA33">
            <w:pPr>
              <w:pStyle w:val="35"/>
              <w:ind w:firstLine="0" w:firstLineChars="0"/>
              <w:jc w:val="center"/>
              <w:rPr>
                <w:rFonts w:hint="eastAsia"/>
                <w:lang w:val="en-US" w:eastAsia="zh-CN"/>
              </w:rPr>
            </w:pPr>
            <w:r>
              <w:rPr>
                <w:rFonts w:hint="eastAsia"/>
                <w:lang w:val="en-US" w:eastAsia="zh-CN"/>
              </w:rPr>
              <w:t>1.18</w:t>
            </w:r>
          </w:p>
        </w:tc>
      </w:tr>
      <w:tr w14:paraId="17EF7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60" w:type="pct"/>
            <w:vAlign w:val="center"/>
          </w:tcPr>
          <w:p w14:paraId="14002BDA">
            <w:pPr>
              <w:pStyle w:val="35"/>
              <w:numPr>
                <w:ilvl w:val="0"/>
                <w:numId w:val="3"/>
              </w:numPr>
              <w:ind w:left="454" w:hanging="454"/>
              <w:jc w:val="center"/>
              <w:rPr>
                <w:rFonts w:hint="default"/>
                <w:lang w:val="en-US" w:eastAsia="zh-CN"/>
              </w:rPr>
            </w:pPr>
          </w:p>
        </w:tc>
        <w:tc>
          <w:tcPr>
            <w:tcW w:w="512" w:type="pct"/>
            <w:vAlign w:val="center"/>
          </w:tcPr>
          <w:p w14:paraId="6B904D5B">
            <w:pPr>
              <w:pStyle w:val="35"/>
              <w:ind w:firstLine="0" w:firstLineChars="0"/>
              <w:jc w:val="center"/>
              <w:rPr>
                <w:rFonts w:hint="eastAsia"/>
              </w:rPr>
            </w:pPr>
            <w:r>
              <w:rPr>
                <w:rFonts w:hint="eastAsia"/>
              </w:rPr>
              <w:t>天辰化工有限公司高盐废水资源化综合利用项目</w:t>
            </w:r>
          </w:p>
        </w:tc>
        <w:tc>
          <w:tcPr>
            <w:tcW w:w="608" w:type="pct"/>
            <w:vAlign w:val="center"/>
          </w:tcPr>
          <w:p w14:paraId="555E581D">
            <w:pPr>
              <w:pStyle w:val="35"/>
              <w:ind w:firstLine="0" w:firstLineChars="0"/>
              <w:jc w:val="center"/>
              <w:rPr>
                <w:rFonts w:hint="eastAsia"/>
              </w:rPr>
            </w:pPr>
            <w:r>
              <w:rPr>
                <w:rFonts w:hint="eastAsia"/>
              </w:rPr>
              <w:t>天辰化工有限公司</w:t>
            </w:r>
          </w:p>
        </w:tc>
        <w:tc>
          <w:tcPr>
            <w:tcW w:w="2250" w:type="pct"/>
            <w:vAlign w:val="center"/>
          </w:tcPr>
          <w:p w14:paraId="06361043">
            <w:pPr>
              <w:pStyle w:val="35"/>
              <w:rPr>
                <w:rFonts w:hint="eastAsia"/>
                <w:lang w:val="en-US" w:eastAsia="zh-CN"/>
              </w:rPr>
            </w:pPr>
            <w:r>
              <w:rPr>
                <w:rFonts w:hint="eastAsia"/>
                <w:lang w:val="en-US" w:eastAsia="zh-CN"/>
              </w:rPr>
              <w:t>建设内容：920t/h高盐废水净化分盐装置、废盐综合利用的离子膜烧碱生产装置、双三氯甲基碳酸酯生产装置及配套的公用工程及辅助设施。</w:t>
            </w:r>
          </w:p>
          <w:p w14:paraId="0CA462C0">
            <w:pPr>
              <w:pStyle w:val="35"/>
              <w:ind w:firstLine="0" w:firstLineChars="0"/>
              <w:rPr>
                <w:rFonts w:hint="eastAsia"/>
                <w:lang w:val="en-US" w:eastAsia="zh-CN"/>
              </w:rPr>
            </w:pPr>
            <w:r>
              <w:rPr>
                <w:rFonts w:hint="eastAsia"/>
                <w:lang w:val="en-US" w:eastAsia="zh-CN"/>
              </w:rPr>
              <w:t>预期成效：废水经过回用水处理、浓盐水处理、蒸发浓缩处理等多级处置，得到氯化钠近饱和溶液，再通过烧碱装置制烧碱产品，实现废水资源化利用。项目的实施，将从源头减少污染物排放，提高副产品资源化利用效率，在改善当地环境质量的同时促进循环经济发展，极具经济、社会与环境效益。</w:t>
            </w:r>
          </w:p>
        </w:tc>
        <w:tc>
          <w:tcPr>
            <w:tcW w:w="809" w:type="pct"/>
            <w:vAlign w:val="center"/>
          </w:tcPr>
          <w:p w14:paraId="7616C848">
            <w:pPr>
              <w:pStyle w:val="35"/>
              <w:ind w:firstLine="0" w:firstLineChars="0"/>
              <w:jc w:val="center"/>
              <w:rPr>
                <w:rFonts w:hint="default" w:eastAsia="宋体"/>
                <w:lang w:val="en-US" w:eastAsia="zh-CN"/>
              </w:rPr>
            </w:pPr>
            <w:r>
              <w:rPr>
                <w:rFonts w:hint="eastAsia"/>
              </w:rPr>
              <w:t>2023</w:t>
            </w:r>
            <w:r>
              <w:rPr>
                <w:rFonts w:hint="eastAsia"/>
                <w:lang w:val="en-US" w:eastAsia="zh-CN"/>
              </w:rPr>
              <w:t>.01—</w:t>
            </w:r>
            <w:r>
              <w:rPr>
                <w:rFonts w:hint="eastAsia"/>
              </w:rPr>
              <w:t>2025</w:t>
            </w:r>
            <w:r>
              <w:rPr>
                <w:rFonts w:hint="eastAsia"/>
                <w:lang w:val="en-US" w:eastAsia="zh-CN"/>
              </w:rPr>
              <w:t>.12</w:t>
            </w:r>
          </w:p>
        </w:tc>
        <w:tc>
          <w:tcPr>
            <w:tcW w:w="458" w:type="pct"/>
            <w:vAlign w:val="center"/>
          </w:tcPr>
          <w:p w14:paraId="6D62FCA7">
            <w:pPr>
              <w:pStyle w:val="35"/>
              <w:ind w:firstLine="0" w:firstLineChars="0"/>
              <w:jc w:val="center"/>
              <w:rPr>
                <w:rFonts w:hint="eastAsia"/>
              </w:rPr>
            </w:pPr>
            <w:r>
              <w:rPr>
                <w:rFonts w:hint="eastAsia"/>
              </w:rPr>
              <w:t>6</w:t>
            </w:r>
            <w:r>
              <w:rPr>
                <w:rFonts w:hint="eastAsia"/>
                <w:lang w:eastAsia="zh-CN"/>
              </w:rPr>
              <w:t>.</w:t>
            </w:r>
            <w:r>
              <w:rPr>
                <w:rFonts w:hint="eastAsia"/>
              </w:rPr>
              <w:t>8</w:t>
            </w:r>
          </w:p>
        </w:tc>
      </w:tr>
      <w:tr w14:paraId="4AF80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60" w:type="pct"/>
            <w:vAlign w:val="center"/>
          </w:tcPr>
          <w:p w14:paraId="4B845962">
            <w:pPr>
              <w:pStyle w:val="35"/>
              <w:numPr>
                <w:ilvl w:val="0"/>
                <w:numId w:val="3"/>
              </w:numPr>
              <w:ind w:left="454" w:hanging="454"/>
              <w:jc w:val="center"/>
              <w:rPr>
                <w:rFonts w:hint="default" w:eastAsia="宋体"/>
                <w:lang w:val="en-US" w:eastAsia="zh-CN"/>
              </w:rPr>
            </w:pPr>
          </w:p>
        </w:tc>
        <w:tc>
          <w:tcPr>
            <w:tcW w:w="512" w:type="pct"/>
            <w:vAlign w:val="center"/>
          </w:tcPr>
          <w:p w14:paraId="276915CC">
            <w:pPr>
              <w:pStyle w:val="35"/>
              <w:jc w:val="center"/>
            </w:pPr>
            <w:r>
              <w:rPr>
                <w:rFonts w:hint="eastAsia"/>
              </w:rPr>
              <w:t>新疆天智辰业化工有限公司解析气资源化综合利用合成10万吨/年氢氨产业链项目</w:t>
            </w:r>
          </w:p>
        </w:tc>
        <w:tc>
          <w:tcPr>
            <w:tcW w:w="608" w:type="pct"/>
            <w:vAlign w:val="center"/>
          </w:tcPr>
          <w:p w14:paraId="54C6F5B4">
            <w:pPr>
              <w:pStyle w:val="35"/>
              <w:jc w:val="center"/>
            </w:pPr>
            <w:r>
              <w:rPr>
                <w:rFonts w:hint="eastAsia"/>
              </w:rPr>
              <w:t>新疆天智辰业化工有限公司</w:t>
            </w:r>
          </w:p>
        </w:tc>
        <w:tc>
          <w:tcPr>
            <w:tcW w:w="2250" w:type="pct"/>
            <w:vAlign w:val="center"/>
          </w:tcPr>
          <w:p w14:paraId="34C8EE5F">
            <w:pPr>
              <w:pStyle w:val="35"/>
              <w:rPr>
                <w:rFonts w:hint="eastAsia"/>
              </w:rPr>
            </w:pPr>
            <w:r>
              <w:rPr>
                <w:rFonts w:hint="eastAsia"/>
                <w:lang w:val="en-US" w:eastAsia="zh-CN"/>
              </w:rPr>
              <w:t>建设内容：</w:t>
            </w:r>
            <w:r>
              <w:rPr>
                <w:rFonts w:hint="eastAsia"/>
              </w:rPr>
              <w:t>解析气收集净化装置、合成气压缩装置、氨合成装置、氨水配制装置、焚烧装置、储运罐区、辅助设施及消防设施等；总占地面积42000平方米，主要设备有氨合成塔、循环压缩机、氨冷冻压缩机组、变换炉、焚烧炉、脱氧塔、分离塔、缓冲罐、换热器、吸附塔、液氨贮罐等。</w:t>
            </w:r>
          </w:p>
          <w:p w14:paraId="6B8E4C63">
            <w:pPr>
              <w:pStyle w:val="35"/>
            </w:pPr>
            <w:r>
              <w:rPr>
                <w:rFonts w:hint="eastAsia"/>
                <w:lang w:val="en-US" w:eastAsia="zh-CN"/>
              </w:rPr>
              <w:t>预期成效：</w:t>
            </w:r>
            <w:r>
              <w:rPr>
                <w:rFonts w:hint="eastAsia"/>
                <w:b w:val="0"/>
                <w:bCs w:val="0"/>
              </w:rPr>
              <w:t>回收净化去火炬的解析尾气</w:t>
            </w:r>
            <w:r>
              <w:rPr>
                <w:rFonts w:hint="eastAsia"/>
                <w:b w:val="0"/>
                <w:bCs w:val="0"/>
                <w:lang w:eastAsia="zh-CN"/>
              </w:rPr>
              <w:t>，</w:t>
            </w:r>
            <w:r>
              <w:rPr>
                <w:rFonts w:hint="eastAsia"/>
                <w:b w:val="0"/>
                <w:bCs w:val="0"/>
              </w:rPr>
              <w:t>合成氢氨产品实现节能降碳，减少环境污染</w:t>
            </w:r>
            <w:r>
              <w:rPr>
                <w:rFonts w:hint="eastAsia"/>
                <w:b/>
                <w:bCs/>
              </w:rPr>
              <w:t>。</w:t>
            </w:r>
          </w:p>
        </w:tc>
        <w:tc>
          <w:tcPr>
            <w:tcW w:w="809" w:type="pct"/>
            <w:vAlign w:val="center"/>
          </w:tcPr>
          <w:p w14:paraId="77723BA7">
            <w:pPr>
              <w:pStyle w:val="35"/>
              <w:jc w:val="center"/>
              <w:rPr>
                <w:rFonts w:hint="eastAsia"/>
                <w:lang w:val="en-US" w:eastAsia="zh-CN"/>
              </w:rPr>
            </w:pPr>
            <w:r>
              <w:rPr>
                <w:rFonts w:hint="eastAsia"/>
              </w:rPr>
              <w:t>2023</w:t>
            </w:r>
            <w:r>
              <w:rPr>
                <w:rFonts w:hint="eastAsia"/>
                <w:lang w:val="en-US" w:eastAsia="zh-CN"/>
              </w:rPr>
              <w:t>.01—</w:t>
            </w:r>
            <w:r>
              <w:rPr>
                <w:rFonts w:hint="eastAsia"/>
              </w:rPr>
              <w:t>2025</w:t>
            </w:r>
            <w:r>
              <w:rPr>
                <w:rFonts w:hint="eastAsia"/>
                <w:lang w:val="en-US" w:eastAsia="zh-CN"/>
              </w:rPr>
              <w:t>.12</w:t>
            </w:r>
          </w:p>
        </w:tc>
        <w:tc>
          <w:tcPr>
            <w:tcW w:w="458" w:type="pct"/>
            <w:vAlign w:val="center"/>
          </w:tcPr>
          <w:p w14:paraId="54AFE5AC">
            <w:pPr>
              <w:pStyle w:val="35"/>
              <w:jc w:val="center"/>
            </w:pPr>
            <w:r>
              <w:rPr>
                <w:rFonts w:hint="eastAsia"/>
              </w:rPr>
              <w:t>4</w:t>
            </w:r>
            <w:r>
              <w:rPr>
                <w:rFonts w:hint="eastAsia"/>
                <w:lang w:eastAsia="zh-CN"/>
              </w:rPr>
              <w:t>.</w:t>
            </w:r>
            <w:r>
              <w:rPr>
                <w:rFonts w:hint="eastAsia"/>
              </w:rPr>
              <w:t>55</w:t>
            </w:r>
          </w:p>
        </w:tc>
      </w:tr>
      <w:tr w14:paraId="568C2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60" w:type="pct"/>
            <w:vAlign w:val="center"/>
          </w:tcPr>
          <w:p w14:paraId="1042043F">
            <w:pPr>
              <w:pStyle w:val="35"/>
              <w:numPr>
                <w:ilvl w:val="0"/>
                <w:numId w:val="3"/>
              </w:numPr>
              <w:ind w:left="454" w:hanging="454"/>
              <w:jc w:val="center"/>
              <w:rPr>
                <w:rFonts w:hint="eastAsia"/>
                <w:lang w:val="en-US" w:eastAsia="zh-CN"/>
              </w:rPr>
            </w:pPr>
          </w:p>
        </w:tc>
        <w:tc>
          <w:tcPr>
            <w:tcW w:w="512" w:type="pct"/>
            <w:vAlign w:val="center"/>
          </w:tcPr>
          <w:p w14:paraId="04EE7472">
            <w:pPr>
              <w:pStyle w:val="35"/>
              <w:ind w:firstLine="0" w:firstLineChars="0"/>
              <w:jc w:val="center"/>
              <w:rPr>
                <w:rFonts w:hint="eastAsia"/>
              </w:rPr>
            </w:pPr>
            <w:r>
              <w:rPr>
                <w:rFonts w:hint="eastAsia"/>
              </w:rPr>
              <w:t>新疆光沐年处置150万吨建筑垃圾循环再生利用项目</w:t>
            </w:r>
          </w:p>
        </w:tc>
        <w:tc>
          <w:tcPr>
            <w:tcW w:w="608" w:type="pct"/>
            <w:vAlign w:val="center"/>
          </w:tcPr>
          <w:p w14:paraId="5E241679">
            <w:pPr>
              <w:pStyle w:val="35"/>
              <w:ind w:firstLine="0" w:firstLineChars="0"/>
              <w:jc w:val="center"/>
              <w:rPr>
                <w:rFonts w:hint="eastAsia"/>
              </w:rPr>
            </w:pPr>
            <w:r>
              <w:rPr>
                <w:rFonts w:hint="eastAsia"/>
              </w:rPr>
              <w:t>新疆光沐新能源科技有限责任公司</w:t>
            </w:r>
          </w:p>
        </w:tc>
        <w:tc>
          <w:tcPr>
            <w:tcW w:w="2250" w:type="pct"/>
            <w:vAlign w:val="center"/>
          </w:tcPr>
          <w:p w14:paraId="28F141E9">
            <w:pPr>
              <w:pStyle w:val="35"/>
              <w:ind w:firstLine="0" w:firstLineChars="0"/>
              <w:rPr>
                <w:rFonts w:hint="eastAsia"/>
                <w:lang w:val="en-US" w:eastAsia="zh-CN"/>
              </w:rPr>
            </w:pPr>
            <w:r>
              <w:rPr>
                <w:rFonts w:hint="eastAsia"/>
              </w:rPr>
              <w:t>规划用地面积约179.55亩（119697m</w:t>
            </w:r>
            <w:r>
              <w:rPr>
                <w:rFonts w:hint="eastAsia"/>
                <w:vertAlign w:val="superscript"/>
              </w:rPr>
              <w:t>2</w:t>
            </w:r>
            <w:r>
              <w:rPr>
                <w:rFonts w:hint="eastAsia"/>
              </w:rPr>
              <w:t>），总建筑面积66887.1m</w:t>
            </w:r>
            <w:r>
              <w:rPr>
                <w:rFonts w:hint="eastAsia"/>
                <w:vertAlign w:val="superscript"/>
              </w:rPr>
              <w:t>2</w:t>
            </w:r>
            <w:r>
              <w:rPr>
                <w:rFonts w:hint="eastAsia"/>
              </w:rPr>
              <w:t>，配套建设建筑垃圾回收再利用项目。</w:t>
            </w:r>
          </w:p>
        </w:tc>
        <w:tc>
          <w:tcPr>
            <w:tcW w:w="809" w:type="pct"/>
            <w:vAlign w:val="center"/>
          </w:tcPr>
          <w:p w14:paraId="02B30A0B">
            <w:pPr>
              <w:pStyle w:val="35"/>
              <w:ind w:firstLine="0" w:firstLineChars="0"/>
              <w:jc w:val="center"/>
              <w:rPr>
                <w:rFonts w:hint="default"/>
                <w:lang w:val="en-US"/>
              </w:rPr>
            </w:pPr>
            <w:r>
              <w:rPr>
                <w:rFonts w:hint="eastAsia"/>
              </w:rPr>
              <w:t>202</w:t>
            </w:r>
            <w:r>
              <w:rPr>
                <w:rFonts w:hint="eastAsia"/>
                <w:lang w:val="en-US" w:eastAsia="zh-CN"/>
              </w:rPr>
              <w:t>4.10—</w:t>
            </w:r>
            <w:r>
              <w:rPr>
                <w:rFonts w:hint="eastAsia"/>
              </w:rPr>
              <w:t>202</w:t>
            </w:r>
            <w:r>
              <w:rPr>
                <w:rFonts w:hint="eastAsia"/>
                <w:lang w:val="en-US" w:eastAsia="zh-CN"/>
              </w:rPr>
              <w:t>6.10</w:t>
            </w:r>
          </w:p>
        </w:tc>
        <w:tc>
          <w:tcPr>
            <w:tcW w:w="458" w:type="pct"/>
            <w:vAlign w:val="center"/>
          </w:tcPr>
          <w:p w14:paraId="3E524C11">
            <w:pPr>
              <w:pStyle w:val="35"/>
              <w:ind w:firstLine="0" w:firstLineChars="0"/>
              <w:jc w:val="center"/>
              <w:rPr>
                <w:rFonts w:hint="default"/>
                <w:lang w:val="en-US" w:eastAsia="zh-CN"/>
              </w:rPr>
            </w:pPr>
            <w:r>
              <w:rPr>
                <w:rFonts w:hint="eastAsia"/>
                <w:lang w:val="en-US" w:eastAsia="zh-CN"/>
              </w:rPr>
              <w:t>3.10</w:t>
            </w:r>
          </w:p>
        </w:tc>
      </w:tr>
      <w:tr w14:paraId="22D2E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60" w:type="pct"/>
            <w:vAlign w:val="center"/>
          </w:tcPr>
          <w:p w14:paraId="51C34122">
            <w:pPr>
              <w:pStyle w:val="35"/>
              <w:numPr>
                <w:ilvl w:val="0"/>
                <w:numId w:val="3"/>
              </w:numPr>
              <w:ind w:left="454" w:hanging="454"/>
              <w:jc w:val="center"/>
              <w:rPr>
                <w:rFonts w:hint="default" w:eastAsia="宋体"/>
                <w:lang w:val="en-US" w:eastAsia="zh-CN"/>
              </w:rPr>
            </w:pPr>
          </w:p>
        </w:tc>
        <w:tc>
          <w:tcPr>
            <w:tcW w:w="512" w:type="pct"/>
            <w:vAlign w:val="center"/>
          </w:tcPr>
          <w:p w14:paraId="1A1606D0">
            <w:pPr>
              <w:pStyle w:val="35"/>
              <w:ind w:firstLine="0" w:firstLineChars="0"/>
              <w:jc w:val="center"/>
              <w:rPr>
                <w:rFonts w:hint="default" w:eastAsia="宋体"/>
                <w:lang w:val="en-US" w:eastAsia="zh-CN"/>
              </w:rPr>
            </w:pPr>
            <w:r>
              <w:rPr>
                <w:rFonts w:hint="eastAsia"/>
              </w:rPr>
              <w:t>新疆东润天为节能环保有限公司高含碳难燃烧废弃粉尘综合利用项目</w:t>
            </w:r>
          </w:p>
        </w:tc>
        <w:tc>
          <w:tcPr>
            <w:tcW w:w="608" w:type="pct"/>
            <w:vAlign w:val="center"/>
          </w:tcPr>
          <w:p w14:paraId="46A5F281">
            <w:pPr>
              <w:pStyle w:val="35"/>
              <w:ind w:firstLine="0" w:firstLineChars="0"/>
              <w:jc w:val="center"/>
            </w:pPr>
            <w:r>
              <w:rPr>
                <w:rFonts w:hint="eastAsia"/>
              </w:rPr>
              <w:t>新疆东润天为节能环保有限公司</w:t>
            </w:r>
          </w:p>
        </w:tc>
        <w:tc>
          <w:tcPr>
            <w:tcW w:w="2250" w:type="pct"/>
            <w:vAlign w:val="center"/>
          </w:tcPr>
          <w:p w14:paraId="74EB2B53">
            <w:pPr>
              <w:pStyle w:val="35"/>
              <w:ind w:firstLine="0" w:firstLineChars="0"/>
              <w:rPr>
                <w:rFonts w:hint="default"/>
                <w:lang w:val="en-US" w:eastAsia="zh-CN"/>
              </w:rPr>
            </w:pPr>
            <w:r>
              <w:rPr>
                <w:rFonts w:hint="eastAsia"/>
                <w:lang w:val="en-US" w:eastAsia="zh-CN"/>
              </w:rPr>
              <w:t>利用周边企业生产过程中产生高含碳难燃烧的废弃粉尘等固体废弃物，通过高温高压复合循环高效洁净焚烧流化床锅炉焚烧后产生196万吨/年的蒸汽。</w:t>
            </w:r>
          </w:p>
        </w:tc>
        <w:tc>
          <w:tcPr>
            <w:tcW w:w="809" w:type="pct"/>
            <w:vAlign w:val="center"/>
          </w:tcPr>
          <w:p w14:paraId="7FA0D294">
            <w:pPr>
              <w:pStyle w:val="35"/>
              <w:ind w:firstLine="0" w:firstLineChars="0"/>
              <w:jc w:val="center"/>
              <w:rPr>
                <w:rFonts w:hint="default"/>
                <w:lang w:val="en-US"/>
              </w:rPr>
            </w:pPr>
            <w:r>
              <w:rPr>
                <w:rFonts w:hint="eastAsia"/>
              </w:rPr>
              <w:t>202</w:t>
            </w:r>
            <w:r>
              <w:rPr>
                <w:rFonts w:hint="eastAsia"/>
                <w:lang w:val="en-US" w:eastAsia="zh-CN"/>
              </w:rPr>
              <w:t>4.01—</w:t>
            </w:r>
            <w:r>
              <w:rPr>
                <w:rFonts w:hint="eastAsia"/>
              </w:rPr>
              <w:t>202</w:t>
            </w:r>
            <w:r>
              <w:rPr>
                <w:rFonts w:hint="eastAsia"/>
                <w:lang w:val="en-US" w:eastAsia="zh-CN"/>
              </w:rPr>
              <w:t>5.12</w:t>
            </w:r>
          </w:p>
        </w:tc>
        <w:tc>
          <w:tcPr>
            <w:tcW w:w="458" w:type="pct"/>
            <w:vAlign w:val="center"/>
          </w:tcPr>
          <w:p w14:paraId="1E426C6E">
            <w:pPr>
              <w:pStyle w:val="35"/>
              <w:ind w:firstLine="0" w:firstLineChars="0"/>
              <w:jc w:val="center"/>
              <w:rPr>
                <w:rFonts w:hint="default" w:eastAsia="宋体"/>
                <w:lang w:val="en-US" w:eastAsia="zh-CN"/>
              </w:rPr>
            </w:pPr>
            <w:r>
              <w:rPr>
                <w:rFonts w:hint="eastAsia"/>
                <w:lang w:val="en-US" w:eastAsia="zh-CN"/>
              </w:rPr>
              <w:t>3.83</w:t>
            </w:r>
          </w:p>
        </w:tc>
      </w:tr>
      <w:tr w14:paraId="1CAC0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60" w:type="pct"/>
            <w:vAlign w:val="center"/>
          </w:tcPr>
          <w:p w14:paraId="7B26804F">
            <w:pPr>
              <w:pStyle w:val="35"/>
              <w:numPr>
                <w:ilvl w:val="0"/>
                <w:numId w:val="3"/>
              </w:numPr>
              <w:ind w:left="454" w:hanging="454"/>
              <w:jc w:val="center"/>
              <w:rPr>
                <w:rFonts w:hint="eastAsia"/>
                <w:lang w:val="en-US" w:eastAsia="zh-CN"/>
              </w:rPr>
            </w:pPr>
          </w:p>
        </w:tc>
        <w:tc>
          <w:tcPr>
            <w:tcW w:w="512" w:type="pct"/>
            <w:vAlign w:val="center"/>
          </w:tcPr>
          <w:p w14:paraId="6E1AFAD5">
            <w:pPr>
              <w:pStyle w:val="35"/>
              <w:ind w:firstLine="0" w:firstLineChars="0"/>
              <w:jc w:val="center"/>
              <w:rPr>
                <w:rFonts w:hint="eastAsia"/>
              </w:rPr>
            </w:pPr>
            <w:r>
              <w:rPr>
                <w:rFonts w:hint="eastAsia"/>
              </w:rPr>
              <w:t>新疆中天荣环保有限公司年产1万立方米工业烟气脱硝催化剂及再生综合利用项目</w:t>
            </w:r>
          </w:p>
        </w:tc>
        <w:tc>
          <w:tcPr>
            <w:tcW w:w="608" w:type="pct"/>
            <w:vAlign w:val="center"/>
          </w:tcPr>
          <w:p w14:paraId="577442FC">
            <w:pPr>
              <w:pStyle w:val="35"/>
              <w:ind w:firstLine="0" w:firstLineChars="0"/>
              <w:jc w:val="center"/>
              <w:rPr>
                <w:rFonts w:hint="eastAsia"/>
              </w:rPr>
            </w:pPr>
            <w:r>
              <w:rPr>
                <w:rFonts w:hint="eastAsia"/>
              </w:rPr>
              <w:t>新疆中天荣环保有限公司</w:t>
            </w:r>
          </w:p>
        </w:tc>
        <w:tc>
          <w:tcPr>
            <w:tcW w:w="2250" w:type="pct"/>
            <w:vAlign w:val="center"/>
          </w:tcPr>
          <w:p w14:paraId="3D0266CE">
            <w:pPr>
              <w:pStyle w:val="35"/>
              <w:ind w:firstLine="0" w:firstLineChars="0"/>
              <w:rPr>
                <w:rFonts w:hint="eastAsia"/>
              </w:rPr>
            </w:pPr>
            <w:r>
              <w:rPr>
                <w:rFonts w:hint="eastAsia"/>
              </w:rPr>
              <w:t>建设年产1万立方米/年烟气脱硝催化剂及2万吨废烟气脱硝催化剂（其中再生1万吨，综合利用1万吨）再生综合利用项目。</w:t>
            </w:r>
          </w:p>
        </w:tc>
        <w:tc>
          <w:tcPr>
            <w:tcW w:w="809" w:type="pct"/>
            <w:vAlign w:val="center"/>
          </w:tcPr>
          <w:p w14:paraId="29D9169B">
            <w:pPr>
              <w:pStyle w:val="35"/>
              <w:ind w:firstLine="0" w:firstLineChars="0"/>
              <w:jc w:val="center"/>
              <w:rPr>
                <w:rFonts w:hint="eastAsia"/>
              </w:rPr>
            </w:pPr>
            <w:r>
              <w:rPr>
                <w:rFonts w:hint="eastAsia"/>
              </w:rPr>
              <w:t>202</w:t>
            </w:r>
            <w:r>
              <w:rPr>
                <w:rFonts w:hint="eastAsia"/>
                <w:lang w:val="en-US" w:eastAsia="zh-CN"/>
              </w:rPr>
              <w:t>5.04—</w:t>
            </w:r>
            <w:r>
              <w:rPr>
                <w:rFonts w:hint="eastAsia"/>
              </w:rPr>
              <w:t>202</w:t>
            </w:r>
            <w:r>
              <w:rPr>
                <w:rFonts w:hint="eastAsia"/>
                <w:lang w:val="en-US" w:eastAsia="zh-CN"/>
              </w:rPr>
              <w:t>6.12</w:t>
            </w:r>
          </w:p>
        </w:tc>
        <w:tc>
          <w:tcPr>
            <w:tcW w:w="458" w:type="pct"/>
            <w:vAlign w:val="center"/>
          </w:tcPr>
          <w:p w14:paraId="77A61BFD">
            <w:pPr>
              <w:pStyle w:val="35"/>
              <w:ind w:firstLine="0" w:firstLineChars="0"/>
              <w:jc w:val="center"/>
              <w:rPr>
                <w:rFonts w:hint="default"/>
                <w:lang w:val="en-US" w:eastAsia="zh-CN"/>
              </w:rPr>
            </w:pPr>
            <w:r>
              <w:rPr>
                <w:rFonts w:hint="eastAsia"/>
                <w:lang w:val="en-US" w:eastAsia="zh-CN"/>
              </w:rPr>
              <w:t>1.50</w:t>
            </w:r>
          </w:p>
        </w:tc>
      </w:tr>
      <w:tr w14:paraId="47050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60" w:type="pct"/>
            <w:vAlign w:val="center"/>
          </w:tcPr>
          <w:p w14:paraId="22C7B404">
            <w:pPr>
              <w:pStyle w:val="35"/>
              <w:numPr>
                <w:ilvl w:val="0"/>
                <w:numId w:val="3"/>
              </w:numPr>
              <w:ind w:left="454" w:hanging="454"/>
              <w:jc w:val="center"/>
              <w:rPr>
                <w:rFonts w:hint="eastAsia"/>
                <w:lang w:val="en-US" w:eastAsia="zh-CN"/>
              </w:rPr>
            </w:pPr>
          </w:p>
        </w:tc>
        <w:tc>
          <w:tcPr>
            <w:tcW w:w="512" w:type="pct"/>
            <w:vAlign w:val="center"/>
          </w:tcPr>
          <w:p w14:paraId="0B71D06B">
            <w:pPr>
              <w:pStyle w:val="35"/>
              <w:ind w:firstLine="0" w:firstLineChars="0"/>
              <w:jc w:val="center"/>
              <w:rPr>
                <w:rFonts w:hint="eastAsia"/>
              </w:rPr>
            </w:pPr>
            <w:r>
              <w:rPr>
                <w:rFonts w:hint="eastAsia"/>
              </w:rPr>
              <w:t>石河子市富源化工有限公司危险废物资源化及无害化处置项目</w:t>
            </w:r>
          </w:p>
        </w:tc>
        <w:tc>
          <w:tcPr>
            <w:tcW w:w="608" w:type="pct"/>
            <w:vAlign w:val="center"/>
          </w:tcPr>
          <w:p w14:paraId="2E5014E4">
            <w:pPr>
              <w:pStyle w:val="35"/>
              <w:ind w:firstLine="0" w:firstLineChars="0"/>
              <w:jc w:val="center"/>
              <w:rPr>
                <w:rFonts w:hint="eastAsia"/>
              </w:rPr>
            </w:pPr>
            <w:r>
              <w:rPr>
                <w:rFonts w:hint="eastAsia"/>
              </w:rPr>
              <w:t>石河子市富源化工有限公司</w:t>
            </w:r>
          </w:p>
        </w:tc>
        <w:tc>
          <w:tcPr>
            <w:tcW w:w="2250" w:type="pct"/>
            <w:vAlign w:val="center"/>
          </w:tcPr>
          <w:p w14:paraId="28DB223E">
            <w:pPr>
              <w:pStyle w:val="35"/>
              <w:ind w:firstLine="0" w:firstLineChars="0"/>
              <w:rPr>
                <w:rFonts w:hint="eastAsia"/>
                <w:lang w:val="en-US" w:eastAsia="zh-CN"/>
              </w:rPr>
            </w:pPr>
            <w:r>
              <w:rPr>
                <w:rFonts w:hint="eastAsia"/>
              </w:rPr>
              <w:t>用地24亩，建设焚烧处置危险废物规模为20000t/a，回收综合利用有机废液的规模为40000t/a。</w:t>
            </w:r>
          </w:p>
        </w:tc>
        <w:tc>
          <w:tcPr>
            <w:tcW w:w="809" w:type="pct"/>
            <w:vAlign w:val="center"/>
          </w:tcPr>
          <w:p w14:paraId="21B86A18">
            <w:pPr>
              <w:pStyle w:val="35"/>
              <w:ind w:firstLine="0" w:firstLineChars="0"/>
              <w:jc w:val="center"/>
              <w:rPr>
                <w:rFonts w:hint="default"/>
                <w:lang w:val="en-US"/>
              </w:rPr>
            </w:pPr>
            <w:r>
              <w:rPr>
                <w:rFonts w:hint="eastAsia"/>
              </w:rPr>
              <w:t>202</w:t>
            </w:r>
            <w:r>
              <w:rPr>
                <w:rFonts w:hint="eastAsia"/>
                <w:lang w:val="en-US" w:eastAsia="zh-CN"/>
              </w:rPr>
              <w:t>5.04—</w:t>
            </w:r>
            <w:r>
              <w:rPr>
                <w:rFonts w:hint="eastAsia"/>
              </w:rPr>
              <w:t>202</w:t>
            </w:r>
            <w:r>
              <w:rPr>
                <w:rFonts w:hint="eastAsia"/>
                <w:lang w:val="en-US" w:eastAsia="zh-CN"/>
              </w:rPr>
              <w:t>6.03</w:t>
            </w:r>
          </w:p>
        </w:tc>
        <w:tc>
          <w:tcPr>
            <w:tcW w:w="458" w:type="pct"/>
            <w:vAlign w:val="center"/>
          </w:tcPr>
          <w:p w14:paraId="0634BCBA">
            <w:pPr>
              <w:pStyle w:val="35"/>
              <w:ind w:firstLine="0" w:firstLineChars="0"/>
              <w:jc w:val="center"/>
              <w:rPr>
                <w:rFonts w:hint="default"/>
                <w:lang w:val="en-US" w:eastAsia="zh-CN"/>
              </w:rPr>
            </w:pPr>
            <w:r>
              <w:rPr>
                <w:rFonts w:hint="eastAsia"/>
                <w:lang w:val="en-US" w:eastAsia="zh-CN"/>
              </w:rPr>
              <w:t>1.10</w:t>
            </w:r>
          </w:p>
        </w:tc>
      </w:tr>
      <w:tr w14:paraId="76857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60" w:type="pct"/>
            <w:vAlign w:val="center"/>
          </w:tcPr>
          <w:p w14:paraId="06EF429B">
            <w:pPr>
              <w:pStyle w:val="35"/>
              <w:numPr>
                <w:ilvl w:val="0"/>
                <w:numId w:val="3"/>
              </w:numPr>
              <w:ind w:left="454" w:hanging="454"/>
              <w:jc w:val="center"/>
              <w:rPr>
                <w:rFonts w:hint="default" w:eastAsia="宋体"/>
                <w:lang w:val="en-US" w:eastAsia="zh-CN"/>
              </w:rPr>
            </w:pPr>
          </w:p>
        </w:tc>
        <w:tc>
          <w:tcPr>
            <w:tcW w:w="512" w:type="pct"/>
            <w:vAlign w:val="center"/>
          </w:tcPr>
          <w:p w14:paraId="7C77267A">
            <w:pPr>
              <w:pStyle w:val="35"/>
              <w:ind w:firstLine="0" w:firstLineChars="0"/>
              <w:jc w:val="center"/>
              <w:rPr>
                <w:rFonts w:hint="eastAsia"/>
              </w:rPr>
            </w:pPr>
            <w:r>
              <w:rPr>
                <w:rFonts w:hint="eastAsia"/>
              </w:rPr>
              <w:t>新疆嘉泰瑞恒新材料科技有限公司脱硫石膏综合利用项目</w:t>
            </w:r>
          </w:p>
        </w:tc>
        <w:tc>
          <w:tcPr>
            <w:tcW w:w="608" w:type="pct"/>
            <w:vAlign w:val="center"/>
          </w:tcPr>
          <w:p w14:paraId="2752B815">
            <w:pPr>
              <w:pStyle w:val="35"/>
              <w:ind w:firstLine="0" w:firstLineChars="0"/>
              <w:jc w:val="center"/>
              <w:rPr>
                <w:rFonts w:hint="eastAsia"/>
              </w:rPr>
            </w:pPr>
            <w:r>
              <w:rPr>
                <w:rFonts w:hint="eastAsia"/>
              </w:rPr>
              <w:t>新疆嘉泰瑞恒新材料科技有限公司</w:t>
            </w:r>
          </w:p>
        </w:tc>
        <w:tc>
          <w:tcPr>
            <w:tcW w:w="2250" w:type="pct"/>
            <w:vAlign w:val="center"/>
          </w:tcPr>
          <w:p w14:paraId="4F0CC722">
            <w:pPr>
              <w:pStyle w:val="35"/>
              <w:ind w:firstLine="0" w:firstLineChars="0"/>
              <w:rPr>
                <w:rFonts w:hint="eastAsia"/>
                <w:lang w:val="en-US" w:eastAsia="zh-CN"/>
              </w:rPr>
            </w:pPr>
            <w:r>
              <w:rPr>
                <w:rFonts w:hint="eastAsia"/>
                <w:lang w:val="en-US" w:eastAsia="zh-CN"/>
              </w:rPr>
              <w:t>一期建设10万吨/年石膏粉生产线、石膏粉深加工生产线；二期建设10万吨/年石膏粉生产线。</w:t>
            </w:r>
          </w:p>
        </w:tc>
        <w:tc>
          <w:tcPr>
            <w:tcW w:w="809" w:type="pct"/>
            <w:vAlign w:val="center"/>
          </w:tcPr>
          <w:p w14:paraId="1605BF8C">
            <w:pPr>
              <w:pStyle w:val="35"/>
              <w:ind w:firstLine="0" w:firstLineChars="0"/>
              <w:jc w:val="center"/>
              <w:rPr>
                <w:rFonts w:hint="eastAsia"/>
              </w:rPr>
            </w:pPr>
            <w:r>
              <w:rPr>
                <w:rFonts w:hint="eastAsia"/>
              </w:rPr>
              <w:t>202</w:t>
            </w:r>
            <w:r>
              <w:rPr>
                <w:rFonts w:hint="eastAsia"/>
                <w:lang w:val="en-US" w:eastAsia="zh-CN"/>
              </w:rPr>
              <w:t>4.01—</w:t>
            </w:r>
            <w:r>
              <w:rPr>
                <w:rFonts w:hint="eastAsia"/>
              </w:rPr>
              <w:t>202</w:t>
            </w:r>
            <w:r>
              <w:rPr>
                <w:rFonts w:hint="eastAsia"/>
                <w:lang w:val="en-US" w:eastAsia="zh-CN"/>
              </w:rPr>
              <w:t>5.12</w:t>
            </w:r>
          </w:p>
        </w:tc>
        <w:tc>
          <w:tcPr>
            <w:tcW w:w="458" w:type="pct"/>
            <w:vAlign w:val="center"/>
          </w:tcPr>
          <w:p w14:paraId="3F22B6AB">
            <w:pPr>
              <w:pStyle w:val="35"/>
              <w:ind w:firstLine="0" w:firstLineChars="0"/>
              <w:jc w:val="center"/>
              <w:rPr>
                <w:rFonts w:hint="eastAsia"/>
              </w:rPr>
            </w:pPr>
            <w:r>
              <w:rPr>
                <w:rFonts w:hint="eastAsia"/>
                <w:lang w:val="en-US" w:eastAsia="zh-CN"/>
              </w:rPr>
              <w:t>0.98</w:t>
            </w:r>
          </w:p>
        </w:tc>
      </w:tr>
      <w:tr w14:paraId="05D2E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60" w:type="pct"/>
            <w:vAlign w:val="center"/>
          </w:tcPr>
          <w:p w14:paraId="2E4489AE">
            <w:pPr>
              <w:pStyle w:val="35"/>
              <w:numPr>
                <w:ilvl w:val="0"/>
                <w:numId w:val="3"/>
              </w:numPr>
              <w:ind w:left="454" w:hanging="454"/>
              <w:jc w:val="center"/>
              <w:rPr>
                <w:rFonts w:hint="default" w:eastAsia="宋体"/>
                <w:lang w:val="en-US" w:eastAsia="zh-CN"/>
              </w:rPr>
            </w:pPr>
          </w:p>
        </w:tc>
        <w:tc>
          <w:tcPr>
            <w:tcW w:w="512" w:type="pct"/>
            <w:vAlign w:val="center"/>
          </w:tcPr>
          <w:p w14:paraId="4733CA70">
            <w:pPr>
              <w:pStyle w:val="35"/>
              <w:ind w:firstLine="0" w:firstLineChars="0"/>
              <w:jc w:val="center"/>
              <w:rPr>
                <w:rFonts w:hint="eastAsia"/>
              </w:rPr>
            </w:pPr>
            <w:r>
              <w:rPr>
                <w:rFonts w:hint="eastAsia"/>
              </w:rPr>
              <w:t>石河子市国力源环保制浆有限公司农林废弃物综合利用项目</w:t>
            </w:r>
          </w:p>
        </w:tc>
        <w:tc>
          <w:tcPr>
            <w:tcW w:w="608" w:type="pct"/>
            <w:vAlign w:val="center"/>
          </w:tcPr>
          <w:p w14:paraId="69A2E906">
            <w:pPr>
              <w:pStyle w:val="35"/>
              <w:ind w:firstLine="0" w:firstLineChars="0"/>
              <w:jc w:val="center"/>
              <w:rPr>
                <w:rFonts w:hint="eastAsia"/>
              </w:rPr>
            </w:pPr>
            <w:r>
              <w:rPr>
                <w:rFonts w:hint="eastAsia"/>
              </w:rPr>
              <w:t>石河子市国力源环保制浆有限公司</w:t>
            </w:r>
          </w:p>
        </w:tc>
        <w:tc>
          <w:tcPr>
            <w:tcW w:w="2250" w:type="pct"/>
            <w:vAlign w:val="center"/>
          </w:tcPr>
          <w:p w14:paraId="3B8344B3">
            <w:pPr>
              <w:pStyle w:val="35"/>
              <w:ind w:firstLine="0" w:firstLineChars="0"/>
              <w:rPr>
                <w:rFonts w:hint="eastAsia"/>
                <w:lang w:val="en-US" w:eastAsia="zh-CN"/>
              </w:rPr>
            </w:pPr>
            <w:r>
              <w:rPr>
                <w:rFonts w:hint="eastAsia"/>
                <w:lang w:val="en-US" w:eastAsia="zh-CN"/>
              </w:rPr>
              <w:t>通过回收利用棉杆等农林废弃物30万吨生产造纸、制肥、新材料、固废再利用56.5万吨，实现农林有机废弃物循环利用、产业延伸等目标。</w:t>
            </w:r>
          </w:p>
        </w:tc>
        <w:tc>
          <w:tcPr>
            <w:tcW w:w="809" w:type="pct"/>
            <w:vAlign w:val="center"/>
          </w:tcPr>
          <w:p w14:paraId="43E1CF68">
            <w:pPr>
              <w:pStyle w:val="35"/>
              <w:ind w:firstLine="0" w:firstLineChars="0"/>
              <w:jc w:val="center"/>
              <w:rPr>
                <w:rFonts w:hint="eastAsia"/>
              </w:rPr>
            </w:pPr>
            <w:r>
              <w:rPr>
                <w:rFonts w:hint="eastAsia"/>
              </w:rPr>
              <w:t>2025.07—2026.12</w:t>
            </w:r>
          </w:p>
        </w:tc>
        <w:tc>
          <w:tcPr>
            <w:tcW w:w="458" w:type="pct"/>
            <w:vAlign w:val="center"/>
          </w:tcPr>
          <w:p w14:paraId="1F58F67E">
            <w:pPr>
              <w:pStyle w:val="35"/>
              <w:ind w:firstLine="0" w:firstLineChars="0"/>
              <w:jc w:val="center"/>
              <w:rPr>
                <w:rFonts w:hint="eastAsia"/>
                <w:lang w:val="en-US" w:eastAsia="zh-CN"/>
              </w:rPr>
            </w:pPr>
            <w:r>
              <w:rPr>
                <w:rFonts w:hint="eastAsia"/>
                <w:lang w:val="en-US" w:eastAsia="zh-CN"/>
              </w:rPr>
              <w:t>1.32</w:t>
            </w:r>
          </w:p>
        </w:tc>
      </w:tr>
      <w:tr w14:paraId="08E74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60" w:type="pct"/>
            <w:vAlign w:val="center"/>
          </w:tcPr>
          <w:p w14:paraId="29A378FD">
            <w:pPr>
              <w:pStyle w:val="35"/>
              <w:numPr>
                <w:ilvl w:val="0"/>
                <w:numId w:val="3"/>
              </w:numPr>
              <w:ind w:left="454" w:hanging="454"/>
              <w:jc w:val="center"/>
              <w:rPr>
                <w:rFonts w:hint="default" w:eastAsia="宋体"/>
                <w:lang w:val="en-US" w:eastAsia="zh-CN"/>
              </w:rPr>
            </w:pPr>
          </w:p>
        </w:tc>
        <w:tc>
          <w:tcPr>
            <w:tcW w:w="512" w:type="pct"/>
            <w:vAlign w:val="center"/>
          </w:tcPr>
          <w:p w14:paraId="63B1D118">
            <w:pPr>
              <w:pStyle w:val="35"/>
              <w:jc w:val="center"/>
              <w:rPr>
                <w:rFonts w:hint="eastAsia"/>
              </w:rPr>
            </w:pPr>
            <w:r>
              <w:rPr>
                <w:rFonts w:hint="eastAsia"/>
              </w:rPr>
              <w:t>新疆华兴玻璃有限公司玻璃制品回收利用项目</w:t>
            </w:r>
          </w:p>
        </w:tc>
        <w:tc>
          <w:tcPr>
            <w:tcW w:w="608" w:type="pct"/>
            <w:vAlign w:val="center"/>
          </w:tcPr>
          <w:p w14:paraId="346007FA">
            <w:pPr>
              <w:pStyle w:val="35"/>
              <w:jc w:val="center"/>
              <w:rPr>
                <w:rFonts w:hint="eastAsia"/>
              </w:rPr>
            </w:pPr>
            <w:r>
              <w:rPr>
                <w:rFonts w:hint="eastAsia"/>
              </w:rPr>
              <w:t>新疆华兴玻璃有限公司</w:t>
            </w:r>
          </w:p>
        </w:tc>
        <w:tc>
          <w:tcPr>
            <w:tcW w:w="2250" w:type="pct"/>
            <w:vAlign w:val="center"/>
          </w:tcPr>
          <w:p w14:paraId="77AAF9F3">
            <w:pPr>
              <w:pStyle w:val="35"/>
              <w:rPr>
                <w:rFonts w:hint="eastAsia"/>
                <w:lang w:val="en-US" w:eastAsia="zh-CN"/>
              </w:rPr>
            </w:pPr>
            <w:r>
              <w:rPr>
                <w:rFonts w:hint="eastAsia"/>
                <w:lang w:val="en-US" w:eastAsia="zh-CN"/>
              </w:rPr>
              <w:t>新建车间一座，内含密闭仓库，总用地面积为1万平方米，总建筑面积1万平方米；购置1条20吨干式碎玻璃清洗线，配备水电气设施。</w:t>
            </w:r>
          </w:p>
        </w:tc>
        <w:tc>
          <w:tcPr>
            <w:tcW w:w="809" w:type="pct"/>
            <w:vAlign w:val="center"/>
          </w:tcPr>
          <w:p w14:paraId="4F7CE1CA">
            <w:pPr>
              <w:pStyle w:val="35"/>
              <w:jc w:val="center"/>
              <w:rPr>
                <w:rFonts w:hint="eastAsia"/>
              </w:rPr>
            </w:pPr>
            <w:r>
              <w:rPr>
                <w:rFonts w:hint="eastAsia"/>
              </w:rPr>
              <w:t>202</w:t>
            </w:r>
            <w:r>
              <w:rPr>
                <w:rFonts w:hint="eastAsia"/>
                <w:lang w:val="en-US" w:eastAsia="zh-CN"/>
              </w:rPr>
              <w:t>4.01—</w:t>
            </w:r>
            <w:r>
              <w:rPr>
                <w:rFonts w:hint="eastAsia"/>
              </w:rPr>
              <w:t>202</w:t>
            </w:r>
            <w:r>
              <w:rPr>
                <w:rFonts w:hint="eastAsia"/>
                <w:lang w:val="en-US" w:eastAsia="zh-CN"/>
              </w:rPr>
              <w:t>5.12</w:t>
            </w:r>
          </w:p>
        </w:tc>
        <w:tc>
          <w:tcPr>
            <w:tcW w:w="458" w:type="pct"/>
            <w:vAlign w:val="center"/>
          </w:tcPr>
          <w:p w14:paraId="55434C1A">
            <w:pPr>
              <w:pStyle w:val="35"/>
              <w:jc w:val="center"/>
              <w:rPr>
                <w:rFonts w:hint="default" w:eastAsia="宋体"/>
                <w:lang w:val="en-US" w:eastAsia="zh-CN"/>
              </w:rPr>
            </w:pPr>
            <w:r>
              <w:rPr>
                <w:rFonts w:hint="eastAsia"/>
                <w:lang w:val="en-US" w:eastAsia="zh-CN"/>
              </w:rPr>
              <w:t>0.6</w:t>
            </w:r>
          </w:p>
        </w:tc>
      </w:tr>
      <w:tr w14:paraId="4539F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60" w:type="pct"/>
            <w:vAlign w:val="center"/>
          </w:tcPr>
          <w:p w14:paraId="253AA560">
            <w:pPr>
              <w:pStyle w:val="35"/>
              <w:numPr>
                <w:ilvl w:val="0"/>
                <w:numId w:val="3"/>
              </w:numPr>
              <w:ind w:left="454" w:hanging="454"/>
              <w:jc w:val="center"/>
              <w:rPr>
                <w:rFonts w:hint="default" w:eastAsia="宋体"/>
                <w:lang w:val="en-US" w:eastAsia="zh-CN"/>
              </w:rPr>
            </w:pPr>
          </w:p>
        </w:tc>
        <w:tc>
          <w:tcPr>
            <w:tcW w:w="512" w:type="pct"/>
            <w:vAlign w:val="center"/>
          </w:tcPr>
          <w:p w14:paraId="7261D9D6">
            <w:pPr>
              <w:pStyle w:val="35"/>
              <w:jc w:val="center"/>
              <w:rPr>
                <w:rFonts w:hint="eastAsia"/>
              </w:rPr>
            </w:pPr>
            <w:r>
              <w:rPr>
                <w:rFonts w:hint="eastAsia"/>
              </w:rPr>
              <w:t>新疆石河子新疆西部合盛硅业有限公司废水综合利用项目</w:t>
            </w:r>
          </w:p>
        </w:tc>
        <w:tc>
          <w:tcPr>
            <w:tcW w:w="608" w:type="pct"/>
            <w:vAlign w:val="center"/>
          </w:tcPr>
          <w:p w14:paraId="6C83B566">
            <w:pPr>
              <w:pStyle w:val="35"/>
              <w:jc w:val="center"/>
              <w:rPr>
                <w:rFonts w:hint="eastAsia"/>
              </w:rPr>
            </w:pPr>
            <w:r>
              <w:rPr>
                <w:rFonts w:hint="eastAsia"/>
              </w:rPr>
              <w:t>新疆西部合盛硅业有限公司</w:t>
            </w:r>
          </w:p>
        </w:tc>
        <w:tc>
          <w:tcPr>
            <w:tcW w:w="2250" w:type="pct"/>
            <w:vAlign w:val="center"/>
          </w:tcPr>
          <w:p w14:paraId="13A104F7">
            <w:pPr>
              <w:pStyle w:val="35"/>
              <w:rPr>
                <w:rFonts w:hint="eastAsia"/>
                <w:lang w:val="en-US" w:eastAsia="zh-CN"/>
              </w:rPr>
            </w:pPr>
            <w:r>
              <w:rPr>
                <w:rFonts w:hint="eastAsia"/>
                <w:lang w:val="en-US" w:eastAsia="zh-CN"/>
              </w:rPr>
              <w:t>本项目新建一套废水综合利用装置，项目投资2510.95万元，建筑面积1176.8平方米，主要包括洗涤与喷淋塔4座、储罐7个、蒸发器4台、水泵24台、换热器2台、冷却器4台等配套装置。</w:t>
            </w:r>
          </w:p>
        </w:tc>
        <w:tc>
          <w:tcPr>
            <w:tcW w:w="809" w:type="pct"/>
            <w:vAlign w:val="center"/>
          </w:tcPr>
          <w:p w14:paraId="7691F0C8">
            <w:pPr>
              <w:pStyle w:val="35"/>
              <w:jc w:val="center"/>
              <w:rPr>
                <w:rFonts w:hint="eastAsia"/>
              </w:rPr>
            </w:pPr>
            <w:r>
              <w:rPr>
                <w:rFonts w:hint="eastAsia"/>
              </w:rPr>
              <w:t>202</w:t>
            </w:r>
            <w:r>
              <w:rPr>
                <w:rFonts w:hint="eastAsia"/>
                <w:lang w:val="en-US" w:eastAsia="zh-CN"/>
              </w:rPr>
              <w:t>4.01—</w:t>
            </w:r>
            <w:r>
              <w:rPr>
                <w:rFonts w:hint="eastAsia"/>
              </w:rPr>
              <w:t>202</w:t>
            </w:r>
            <w:r>
              <w:rPr>
                <w:rFonts w:hint="eastAsia"/>
                <w:lang w:val="en-US" w:eastAsia="zh-CN"/>
              </w:rPr>
              <w:t>5.12</w:t>
            </w:r>
          </w:p>
        </w:tc>
        <w:tc>
          <w:tcPr>
            <w:tcW w:w="458" w:type="pct"/>
            <w:vAlign w:val="center"/>
          </w:tcPr>
          <w:p w14:paraId="461DF377">
            <w:pPr>
              <w:pStyle w:val="35"/>
              <w:jc w:val="center"/>
              <w:rPr>
                <w:rFonts w:hint="default"/>
                <w:lang w:val="en-US" w:eastAsia="zh-CN"/>
              </w:rPr>
            </w:pPr>
            <w:r>
              <w:rPr>
                <w:rFonts w:hint="eastAsia"/>
                <w:lang w:val="en-US" w:eastAsia="zh-CN"/>
              </w:rPr>
              <w:t>0.25</w:t>
            </w:r>
          </w:p>
        </w:tc>
      </w:tr>
      <w:tr w14:paraId="62735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60" w:type="pct"/>
            <w:vAlign w:val="center"/>
          </w:tcPr>
          <w:p w14:paraId="1599B604">
            <w:pPr>
              <w:pStyle w:val="35"/>
              <w:numPr>
                <w:ilvl w:val="-1"/>
                <w:numId w:val="0"/>
              </w:numPr>
              <w:tabs>
                <w:tab w:val="left" w:pos="0"/>
              </w:tabs>
              <w:ind w:left="0" w:firstLine="0"/>
              <w:jc w:val="center"/>
              <w:rPr>
                <w:rFonts w:hint="eastAsia"/>
                <w:lang w:val="en-US" w:eastAsia="zh-CN"/>
              </w:rPr>
            </w:pPr>
            <w:r>
              <w:rPr>
                <w:rFonts w:hint="eastAsia"/>
                <w:lang w:val="en-US" w:eastAsia="zh-CN"/>
              </w:rPr>
              <w:t>（七）</w:t>
            </w:r>
          </w:p>
        </w:tc>
        <w:tc>
          <w:tcPr>
            <w:tcW w:w="4180" w:type="pct"/>
            <w:gridSpan w:val="4"/>
            <w:vAlign w:val="center"/>
          </w:tcPr>
          <w:p w14:paraId="70BE6FD3">
            <w:pPr>
              <w:pStyle w:val="35"/>
              <w:jc w:val="center"/>
              <w:rPr>
                <w:rFonts w:hint="default" w:eastAsia="宋体"/>
                <w:lang w:val="en-US" w:eastAsia="zh-CN"/>
              </w:rPr>
            </w:pPr>
            <w:r>
              <w:rPr>
                <w:rFonts w:hint="eastAsia"/>
                <w:lang w:val="en-US" w:eastAsia="zh-CN"/>
              </w:rPr>
              <w:t>平台科技创新（4）</w:t>
            </w:r>
          </w:p>
        </w:tc>
        <w:tc>
          <w:tcPr>
            <w:tcW w:w="458" w:type="pct"/>
            <w:vAlign w:val="center"/>
          </w:tcPr>
          <w:p w14:paraId="3813F5C6">
            <w:pPr>
              <w:pStyle w:val="35"/>
              <w:jc w:val="center"/>
              <w:rPr>
                <w:rFonts w:hint="default"/>
                <w:lang w:val="en-US" w:eastAsia="zh-CN"/>
              </w:rPr>
            </w:pPr>
            <w:r>
              <w:rPr>
                <w:rFonts w:hint="eastAsia"/>
                <w:lang w:val="en-US" w:eastAsia="zh-CN"/>
              </w:rPr>
              <w:t>13.62</w:t>
            </w:r>
          </w:p>
        </w:tc>
      </w:tr>
      <w:tr w14:paraId="41088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60" w:type="pct"/>
            <w:vAlign w:val="center"/>
          </w:tcPr>
          <w:p w14:paraId="40A07A66">
            <w:pPr>
              <w:pStyle w:val="35"/>
              <w:numPr>
                <w:ilvl w:val="0"/>
                <w:numId w:val="3"/>
              </w:numPr>
              <w:ind w:left="454" w:hanging="454"/>
              <w:jc w:val="center"/>
              <w:rPr>
                <w:rFonts w:hint="eastAsia"/>
                <w:lang w:val="en-US" w:eastAsia="zh-CN"/>
              </w:rPr>
            </w:pPr>
          </w:p>
        </w:tc>
        <w:tc>
          <w:tcPr>
            <w:tcW w:w="512" w:type="pct"/>
            <w:vAlign w:val="center"/>
          </w:tcPr>
          <w:p w14:paraId="11996706">
            <w:pPr>
              <w:pStyle w:val="35"/>
              <w:jc w:val="center"/>
              <w:rPr>
                <w:rFonts w:hint="eastAsia"/>
              </w:rPr>
            </w:pPr>
            <w:r>
              <w:rPr>
                <w:rFonts w:hint="eastAsia"/>
              </w:rPr>
              <w:t>铝行业全产业链数字化运营赋能平台项目</w:t>
            </w:r>
          </w:p>
        </w:tc>
        <w:tc>
          <w:tcPr>
            <w:tcW w:w="608" w:type="pct"/>
            <w:vAlign w:val="center"/>
          </w:tcPr>
          <w:p w14:paraId="2C09CDEF">
            <w:pPr>
              <w:pStyle w:val="35"/>
              <w:jc w:val="center"/>
              <w:rPr>
                <w:rFonts w:hint="eastAsia"/>
              </w:rPr>
            </w:pPr>
            <w:r>
              <w:rPr>
                <w:rFonts w:hint="eastAsia"/>
              </w:rPr>
              <w:t>新疆生产建设兵团第八师天山铝业有限公司</w:t>
            </w:r>
          </w:p>
        </w:tc>
        <w:tc>
          <w:tcPr>
            <w:tcW w:w="2250" w:type="pct"/>
            <w:vAlign w:val="center"/>
          </w:tcPr>
          <w:p w14:paraId="1DFEB9AF">
            <w:pPr>
              <w:pStyle w:val="35"/>
              <w:rPr>
                <w:rFonts w:hint="eastAsia"/>
                <w:lang w:val="en-US" w:eastAsia="zh-CN"/>
              </w:rPr>
            </w:pPr>
            <w:r>
              <w:rPr>
                <w:rFonts w:hint="eastAsia"/>
              </w:rPr>
              <w:t>构建产业级数字中枢平台。1）部署100+标准化API接口，采集产业链物流、信息流及能源数据；2）开发智能预测系统，实现需求弹性测算、库存智能调配、物流调度与碳排精准管理；3）</w:t>
            </w:r>
            <w:r>
              <w:rPr>
                <w:rFonts w:hint="eastAsia"/>
                <w:lang w:eastAsia="zh-CN"/>
              </w:rPr>
              <w:t>“</w:t>
            </w:r>
            <w:r>
              <w:rPr>
                <w:rFonts w:hint="eastAsia"/>
              </w:rPr>
              <w:t>四地五中心</w:t>
            </w:r>
            <w:r>
              <w:rPr>
                <w:rFonts w:hint="eastAsia"/>
                <w:lang w:eastAsia="zh-CN"/>
              </w:rPr>
              <w:t>”</w:t>
            </w:r>
            <w:r>
              <w:rPr>
                <w:rFonts w:hint="eastAsia"/>
              </w:rPr>
              <w:t>混合云架构，实现全栈适配容灾多活，引入区块链存证强化数据安全；4）建立200+企业数字生态联盟，赋能中小企业，助力行业数字化升级，满足信创适配。</w:t>
            </w:r>
          </w:p>
        </w:tc>
        <w:tc>
          <w:tcPr>
            <w:tcW w:w="809" w:type="pct"/>
            <w:vAlign w:val="center"/>
          </w:tcPr>
          <w:p w14:paraId="51F2CE29">
            <w:pPr>
              <w:pStyle w:val="35"/>
              <w:jc w:val="center"/>
              <w:rPr>
                <w:rFonts w:hint="default"/>
                <w:lang w:val="en-US"/>
              </w:rPr>
            </w:pPr>
            <w:r>
              <w:rPr>
                <w:rFonts w:hint="eastAsia"/>
              </w:rPr>
              <w:t>202</w:t>
            </w:r>
            <w:r>
              <w:rPr>
                <w:rFonts w:hint="eastAsia"/>
                <w:lang w:val="en-US" w:eastAsia="zh-CN"/>
              </w:rPr>
              <w:t>5.03—</w:t>
            </w:r>
            <w:r>
              <w:rPr>
                <w:rFonts w:hint="eastAsia"/>
              </w:rPr>
              <w:t>202</w:t>
            </w:r>
            <w:r>
              <w:rPr>
                <w:rFonts w:hint="eastAsia"/>
                <w:lang w:val="en-US" w:eastAsia="zh-CN"/>
              </w:rPr>
              <w:t>6.03</w:t>
            </w:r>
          </w:p>
        </w:tc>
        <w:tc>
          <w:tcPr>
            <w:tcW w:w="458" w:type="pct"/>
            <w:vAlign w:val="center"/>
          </w:tcPr>
          <w:p w14:paraId="116F4925">
            <w:pPr>
              <w:pStyle w:val="35"/>
              <w:jc w:val="center"/>
              <w:rPr>
                <w:rFonts w:hint="default"/>
                <w:lang w:val="en-US" w:eastAsia="zh-CN"/>
              </w:rPr>
            </w:pPr>
            <w:r>
              <w:rPr>
                <w:rFonts w:hint="eastAsia"/>
                <w:lang w:val="en-US" w:eastAsia="zh-CN"/>
              </w:rPr>
              <w:t>1</w:t>
            </w:r>
          </w:p>
        </w:tc>
      </w:tr>
      <w:tr w14:paraId="45B24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60" w:type="pct"/>
            <w:vAlign w:val="center"/>
          </w:tcPr>
          <w:p w14:paraId="59DE42C8">
            <w:pPr>
              <w:pStyle w:val="35"/>
              <w:numPr>
                <w:ilvl w:val="0"/>
                <w:numId w:val="3"/>
              </w:numPr>
              <w:ind w:left="454" w:hanging="454"/>
              <w:jc w:val="center"/>
              <w:rPr>
                <w:rFonts w:hint="eastAsia"/>
                <w:lang w:val="en-US" w:eastAsia="zh-CN"/>
              </w:rPr>
            </w:pPr>
          </w:p>
        </w:tc>
        <w:tc>
          <w:tcPr>
            <w:tcW w:w="512" w:type="pct"/>
            <w:vAlign w:val="center"/>
          </w:tcPr>
          <w:p w14:paraId="0BFABF2C">
            <w:pPr>
              <w:pStyle w:val="35"/>
              <w:jc w:val="center"/>
              <w:rPr>
                <w:rFonts w:hint="eastAsia"/>
              </w:rPr>
            </w:pPr>
            <w:r>
              <w:rPr>
                <w:rFonts w:hint="eastAsia"/>
              </w:rPr>
              <w:t>多晶硅生产设备全生命周期数智化管理系统的研发与应用</w:t>
            </w:r>
          </w:p>
        </w:tc>
        <w:tc>
          <w:tcPr>
            <w:tcW w:w="608" w:type="pct"/>
            <w:vAlign w:val="center"/>
          </w:tcPr>
          <w:p w14:paraId="5FA45D3B">
            <w:pPr>
              <w:pStyle w:val="35"/>
              <w:jc w:val="center"/>
              <w:rPr>
                <w:rFonts w:hint="eastAsia"/>
              </w:rPr>
            </w:pPr>
            <w:r>
              <w:rPr>
                <w:rFonts w:hint="eastAsia"/>
              </w:rPr>
              <w:t>新疆大全新能源股份有限公司</w:t>
            </w:r>
          </w:p>
        </w:tc>
        <w:tc>
          <w:tcPr>
            <w:tcW w:w="2250" w:type="pct"/>
            <w:vAlign w:val="center"/>
          </w:tcPr>
          <w:p w14:paraId="3BBCCC77">
            <w:pPr>
              <w:pStyle w:val="35"/>
              <w:rPr>
                <w:rFonts w:hint="eastAsia" w:eastAsia="宋体"/>
                <w:lang w:eastAsia="zh-CN"/>
              </w:rPr>
            </w:pPr>
            <w:r>
              <w:rPr>
                <w:rFonts w:hint="eastAsia"/>
              </w:rPr>
              <w:t>课题一：多晶硅生产设备多源异构数据采集与智能融合技术研究</w:t>
            </w:r>
            <w:r>
              <w:rPr>
                <w:rFonts w:hint="eastAsia"/>
                <w:lang w:eastAsia="zh-CN"/>
              </w:rPr>
              <w:t>：</w:t>
            </w:r>
          </w:p>
          <w:p w14:paraId="77E466F3">
            <w:pPr>
              <w:pStyle w:val="35"/>
              <w:rPr>
                <w:rFonts w:hint="eastAsia" w:eastAsia="宋体"/>
                <w:lang w:eastAsia="zh-CN"/>
              </w:rPr>
            </w:pPr>
            <w:r>
              <w:rPr>
                <w:rFonts w:hint="eastAsia"/>
              </w:rPr>
              <w:t>1）多源异构设备数据采集与清洗技术开发</w:t>
            </w:r>
            <w:r>
              <w:rPr>
                <w:rFonts w:hint="eastAsia"/>
                <w:lang w:eastAsia="zh-CN"/>
              </w:rPr>
              <w:t>；</w:t>
            </w:r>
          </w:p>
          <w:p w14:paraId="0F23BFB1">
            <w:pPr>
              <w:pStyle w:val="35"/>
              <w:rPr>
                <w:rFonts w:hint="eastAsia" w:eastAsia="宋体"/>
                <w:lang w:eastAsia="zh-CN"/>
              </w:rPr>
            </w:pPr>
            <w:r>
              <w:rPr>
                <w:rFonts w:hint="eastAsia"/>
              </w:rPr>
              <w:t>2）多源异构设备数据融合与质量评估体系构建</w:t>
            </w:r>
            <w:r>
              <w:rPr>
                <w:rFonts w:hint="eastAsia"/>
                <w:lang w:eastAsia="zh-CN"/>
              </w:rPr>
              <w:t>。</w:t>
            </w:r>
          </w:p>
          <w:p w14:paraId="09BB43BA">
            <w:pPr>
              <w:pStyle w:val="35"/>
              <w:rPr>
                <w:rFonts w:hint="eastAsia" w:eastAsia="宋体"/>
                <w:lang w:eastAsia="zh-CN"/>
              </w:rPr>
            </w:pPr>
            <w:r>
              <w:rPr>
                <w:rFonts w:hint="eastAsia"/>
              </w:rPr>
              <w:t>课题二：多晶硅生产设备状态监测与故障预测维护关键技术研究</w:t>
            </w:r>
            <w:r>
              <w:rPr>
                <w:rFonts w:hint="eastAsia"/>
                <w:lang w:eastAsia="zh-CN"/>
              </w:rPr>
              <w:t>：</w:t>
            </w:r>
          </w:p>
          <w:p w14:paraId="46301EB2">
            <w:pPr>
              <w:pStyle w:val="35"/>
              <w:rPr>
                <w:rFonts w:hint="eastAsia" w:eastAsia="宋体"/>
                <w:lang w:eastAsia="zh-CN"/>
              </w:rPr>
            </w:pPr>
            <w:r>
              <w:rPr>
                <w:rFonts w:hint="eastAsia"/>
              </w:rPr>
              <w:t>1）多晶硅生产设备状态监测与故障预测模型开发</w:t>
            </w:r>
            <w:r>
              <w:rPr>
                <w:rFonts w:hint="eastAsia"/>
                <w:lang w:eastAsia="zh-CN"/>
              </w:rPr>
              <w:t>；</w:t>
            </w:r>
          </w:p>
          <w:p w14:paraId="7914BE67">
            <w:pPr>
              <w:pStyle w:val="35"/>
              <w:rPr>
                <w:rFonts w:hint="eastAsia" w:eastAsia="宋体"/>
                <w:lang w:eastAsia="zh-CN"/>
              </w:rPr>
            </w:pPr>
            <w:r>
              <w:rPr>
                <w:rFonts w:hint="eastAsia"/>
              </w:rPr>
              <w:t>2）多晶硅生产设备预测性维护策略与运维优化研究</w:t>
            </w:r>
            <w:r>
              <w:rPr>
                <w:rFonts w:hint="eastAsia"/>
                <w:lang w:eastAsia="zh-CN"/>
              </w:rPr>
              <w:t>。</w:t>
            </w:r>
          </w:p>
          <w:p w14:paraId="2E878FF8">
            <w:pPr>
              <w:pStyle w:val="35"/>
              <w:rPr>
                <w:rFonts w:hint="eastAsia" w:eastAsia="宋体"/>
                <w:lang w:eastAsia="zh-CN"/>
              </w:rPr>
            </w:pPr>
            <w:r>
              <w:rPr>
                <w:rFonts w:hint="eastAsia"/>
              </w:rPr>
              <w:t>课题三：多晶硅设备全生命周期数智化管理系统开发与应用示范</w:t>
            </w:r>
            <w:r>
              <w:rPr>
                <w:rFonts w:hint="eastAsia"/>
                <w:lang w:eastAsia="zh-CN"/>
              </w:rPr>
              <w:t>：</w:t>
            </w:r>
          </w:p>
          <w:p w14:paraId="6AC70971">
            <w:pPr>
              <w:pStyle w:val="35"/>
              <w:rPr>
                <w:rFonts w:hint="eastAsia" w:eastAsia="宋体"/>
                <w:lang w:eastAsia="zh-CN"/>
              </w:rPr>
            </w:pPr>
            <w:r>
              <w:rPr>
                <w:rFonts w:hint="eastAsia"/>
              </w:rPr>
              <w:t>1）设备全生命周期管理需求分析与系统架构设计</w:t>
            </w:r>
            <w:r>
              <w:rPr>
                <w:rFonts w:hint="eastAsia"/>
                <w:lang w:eastAsia="zh-CN"/>
              </w:rPr>
              <w:t>；</w:t>
            </w:r>
          </w:p>
          <w:p w14:paraId="03706E94">
            <w:pPr>
              <w:pStyle w:val="35"/>
              <w:rPr>
                <w:rFonts w:hint="eastAsia"/>
              </w:rPr>
            </w:pPr>
            <w:r>
              <w:rPr>
                <w:rFonts w:hint="eastAsia"/>
              </w:rPr>
              <w:t>2）设备全生命周期管理系统平台搭建、测试及应用。</w:t>
            </w:r>
          </w:p>
        </w:tc>
        <w:tc>
          <w:tcPr>
            <w:tcW w:w="809" w:type="pct"/>
            <w:vAlign w:val="center"/>
          </w:tcPr>
          <w:p w14:paraId="5C739CCC">
            <w:pPr>
              <w:pStyle w:val="35"/>
              <w:jc w:val="center"/>
              <w:rPr>
                <w:rFonts w:hint="eastAsia"/>
              </w:rPr>
            </w:pPr>
            <w:r>
              <w:rPr>
                <w:rFonts w:hint="eastAsia"/>
              </w:rPr>
              <w:t>202</w:t>
            </w:r>
            <w:r>
              <w:rPr>
                <w:rFonts w:hint="eastAsia"/>
                <w:lang w:val="en-US" w:eastAsia="zh-CN"/>
              </w:rPr>
              <w:t>5.01—</w:t>
            </w:r>
            <w:r>
              <w:rPr>
                <w:rFonts w:hint="eastAsia"/>
              </w:rPr>
              <w:t>202</w:t>
            </w:r>
            <w:r>
              <w:rPr>
                <w:rFonts w:hint="eastAsia"/>
                <w:lang w:val="en-US" w:eastAsia="zh-CN"/>
              </w:rPr>
              <w:t>7.12</w:t>
            </w:r>
          </w:p>
        </w:tc>
        <w:tc>
          <w:tcPr>
            <w:tcW w:w="458" w:type="pct"/>
            <w:vAlign w:val="center"/>
          </w:tcPr>
          <w:p w14:paraId="56B61B36">
            <w:pPr>
              <w:pStyle w:val="35"/>
              <w:jc w:val="center"/>
              <w:rPr>
                <w:rFonts w:hint="default"/>
                <w:lang w:val="en-US" w:eastAsia="zh-CN"/>
              </w:rPr>
            </w:pPr>
            <w:r>
              <w:rPr>
                <w:rFonts w:hint="eastAsia"/>
                <w:lang w:val="en-US" w:eastAsia="zh-CN"/>
              </w:rPr>
              <w:t>0.09</w:t>
            </w:r>
          </w:p>
        </w:tc>
      </w:tr>
      <w:tr w14:paraId="2AB49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60" w:type="pct"/>
            <w:vAlign w:val="center"/>
          </w:tcPr>
          <w:p w14:paraId="233A8056">
            <w:pPr>
              <w:pStyle w:val="35"/>
              <w:numPr>
                <w:ilvl w:val="0"/>
                <w:numId w:val="3"/>
              </w:numPr>
              <w:ind w:left="454" w:hanging="454"/>
              <w:jc w:val="center"/>
              <w:rPr>
                <w:rFonts w:hint="eastAsia"/>
                <w:lang w:val="en-US" w:eastAsia="zh-CN"/>
              </w:rPr>
            </w:pPr>
          </w:p>
        </w:tc>
        <w:tc>
          <w:tcPr>
            <w:tcW w:w="512" w:type="pct"/>
            <w:vAlign w:val="center"/>
          </w:tcPr>
          <w:p w14:paraId="5B87AA84">
            <w:pPr>
              <w:pStyle w:val="35"/>
              <w:jc w:val="center"/>
              <w:rPr>
                <w:rFonts w:hint="eastAsia"/>
              </w:rPr>
            </w:pPr>
            <w:r>
              <w:rPr>
                <w:rFonts w:hint="eastAsia"/>
              </w:rPr>
              <w:t>垂天（新疆）能源科技有限公司新能源及数字技术研发中心项目</w:t>
            </w:r>
          </w:p>
        </w:tc>
        <w:tc>
          <w:tcPr>
            <w:tcW w:w="608" w:type="pct"/>
            <w:vAlign w:val="center"/>
          </w:tcPr>
          <w:p w14:paraId="4F3DCDC3">
            <w:pPr>
              <w:pStyle w:val="35"/>
              <w:jc w:val="center"/>
              <w:rPr>
                <w:rFonts w:hint="eastAsia"/>
              </w:rPr>
            </w:pPr>
            <w:r>
              <w:rPr>
                <w:rFonts w:hint="eastAsia"/>
              </w:rPr>
              <w:t>垂天（新疆）能源科技有限公司</w:t>
            </w:r>
          </w:p>
        </w:tc>
        <w:tc>
          <w:tcPr>
            <w:tcW w:w="2250" w:type="pct"/>
            <w:vAlign w:val="center"/>
          </w:tcPr>
          <w:p w14:paraId="47B36284">
            <w:pPr>
              <w:pStyle w:val="35"/>
              <w:rPr>
                <w:rFonts w:hint="eastAsia"/>
              </w:rPr>
            </w:pPr>
            <w:r>
              <w:rPr>
                <w:rFonts w:hint="eastAsia"/>
              </w:rPr>
              <w:t>购置相关全自动层叠式送板机、高速贴片机、全自动在线式光学检测、在线全自动灌胶机等设备，建设新能源及数字技术研发中心。</w:t>
            </w:r>
          </w:p>
        </w:tc>
        <w:tc>
          <w:tcPr>
            <w:tcW w:w="809" w:type="pct"/>
            <w:vAlign w:val="center"/>
          </w:tcPr>
          <w:p w14:paraId="1EF1DBE6">
            <w:pPr>
              <w:pStyle w:val="35"/>
              <w:jc w:val="center"/>
              <w:rPr>
                <w:rFonts w:hint="default"/>
                <w:lang w:val="en-US"/>
              </w:rPr>
            </w:pPr>
            <w:r>
              <w:rPr>
                <w:rFonts w:hint="eastAsia"/>
              </w:rPr>
              <w:t>202</w:t>
            </w:r>
            <w:r>
              <w:rPr>
                <w:rFonts w:hint="eastAsia"/>
                <w:lang w:val="en-US" w:eastAsia="zh-CN"/>
              </w:rPr>
              <w:t>5.01—</w:t>
            </w:r>
            <w:r>
              <w:rPr>
                <w:rFonts w:hint="eastAsia"/>
              </w:rPr>
              <w:t>202</w:t>
            </w:r>
            <w:r>
              <w:rPr>
                <w:rFonts w:hint="eastAsia"/>
                <w:lang w:val="en-US" w:eastAsia="zh-CN"/>
              </w:rPr>
              <w:t>5.12</w:t>
            </w:r>
          </w:p>
        </w:tc>
        <w:tc>
          <w:tcPr>
            <w:tcW w:w="458" w:type="pct"/>
            <w:vAlign w:val="center"/>
          </w:tcPr>
          <w:p w14:paraId="0C3A6764">
            <w:pPr>
              <w:pStyle w:val="35"/>
              <w:jc w:val="center"/>
              <w:rPr>
                <w:rFonts w:hint="default"/>
                <w:lang w:val="en-US" w:eastAsia="zh-CN"/>
              </w:rPr>
            </w:pPr>
            <w:r>
              <w:rPr>
                <w:rFonts w:hint="eastAsia"/>
                <w:lang w:val="en-US" w:eastAsia="zh-CN"/>
              </w:rPr>
              <w:t>0.53</w:t>
            </w:r>
          </w:p>
        </w:tc>
      </w:tr>
      <w:tr w14:paraId="06B6B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60" w:type="pct"/>
            <w:vAlign w:val="center"/>
          </w:tcPr>
          <w:p w14:paraId="21A52C55">
            <w:pPr>
              <w:pStyle w:val="35"/>
              <w:numPr>
                <w:ilvl w:val="0"/>
                <w:numId w:val="3"/>
              </w:numPr>
              <w:ind w:left="454" w:hanging="454"/>
              <w:jc w:val="center"/>
              <w:rPr>
                <w:rFonts w:hint="eastAsia"/>
                <w:lang w:val="en-US" w:eastAsia="zh-CN"/>
              </w:rPr>
            </w:pPr>
          </w:p>
        </w:tc>
        <w:tc>
          <w:tcPr>
            <w:tcW w:w="512" w:type="pct"/>
            <w:vAlign w:val="center"/>
          </w:tcPr>
          <w:p w14:paraId="0DF44192">
            <w:pPr>
              <w:pStyle w:val="35"/>
              <w:jc w:val="center"/>
              <w:rPr>
                <w:rFonts w:hint="eastAsia"/>
              </w:rPr>
            </w:pPr>
            <w:r>
              <w:rPr>
                <w:rFonts w:hint="eastAsia"/>
              </w:rPr>
              <w:t>新疆华科智算科技有限公司数据中心项目（神速）</w:t>
            </w:r>
          </w:p>
        </w:tc>
        <w:tc>
          <w:tcPr>
            <w:tcW w:w="608" w:type="pct"/>
            <w:vAlign w:val="center"/>
          </w:tcPr>
          <w:p w14:paraId="28A5B905">
            <w:pPr>
              <w:pStyle w:val="35"/>
              <w:jc w:val="center"/>
              <w:rPr>
                <w:rFonts w:hint="eastAsia"/>
              </w:rPr>
            </w:pPr>
            <w:r>
              <w:rPr>
                <w:rFonts w:hint="eastAsia"/>
              </w:rPr>
              <w:t>新疆华科智算科技有限公司</w:t>
            </w:r>
          </w:p>
        </w:tc>
        <w:tc>
          <w:tcPr>
            <w:tcW w:w="2250" w:type="pct"/>
            <w:vAlign w:val="center"/>
          </w:tcPr>
          <w:p w14:paraId="2D2F4896">
            <w:pPr>
              <w:pStyle w:val="35"/>
              <w:rPr>
                <w:rFonts w:hint="eastAsia"/>
              </w:rPr>
            </w:pPr>
            <w:r>
              <w:rPr>
                <w:rFonts w:hint="eastAsia"/>
              </w:rPr>
              <w:t>建设智算中心，新建1920个机柜。项目拟占地35亩，建设1920个机柜，配套制冷系统、供电系统、照明、暖通、空调等辅助生产设施。项目建成后，为人工智能发展、网络通信技术推广和终端应用提供基础算力支撑。</w:t>
            </w:r>
          </w:p>
        </w:tc>
        <w:tc>
          <w:tcPr>
            <w:tcW w:w="809" w:type="pct"/>
            <w:vAlign w:val="center"/>
          </w:tcPr>
          <w:p w14:paraId="09BCCC06">
            <w:pPr>
              <w:pStyle w:val="35"/>
              <w:jc w:val="center"/>
              <w:rPr>
                <w:rFonts w:hint="eastAsia"/>
              </w:rPr>
            </w:pPr>
            <w:r>
              <w:rPr>
                <w:rFonts w:hint="eastAsia"/>
              </w:rPr>
              <w:t>202</w:t>
            </w:r>
            <w:r>
              <w:rPr>
                <w:rFonts w:hint="eastAsia"/>
                <w:lang w:val="en-US" w:eastAsia="zh-CN"/>
              </w:rPr>
              <w:t>5.01—</w:t>
            </w:r>
            <w:r>
              <w:rPr>
                <w:rFonts w:hint="eastAsia"/>
              </w:rPr>
              <w:t>202</w:t>
            </w:r>
            <w:r>
              <w:rPr>
                <w:rFonts w:hint="eastAsia"/>
                <w:lang w:val="en-US" w:eastAsia="zh-CN"/>
              </w:rPr>
              <w:t>6.12</w:t>
            </w:r>
          </w:p>
        </w:tc>
        <w:tc>
          <w:tcPr>
            <w:tcW w:w="458" w:type="pct"/>
            <w:vAlign w:val="center"/>
          </w:tcPr>
          <w:p w14:paraId="236EB589">
            <w:pPr>
              <w:pStyle w:val="35"/>
              <w:jc w:val="center"/>
              <w:rPr>
                <w:rFonts w:hint="default"/>
                <w:lang w:val="en-US" w:eastAsia="zh-CN"/>
              </w:rPr>
            </w:pPr>
            <w:r>
              <w:rPr>
                <w:rFonts w:hint="eastAsia"/>
                <w:lang w:val="en-US" w:eastAsia="zh-CN"/>
              </w:rPr>
              <w:t>12</w:t>
            </w:r>
          </w:p>
        </w:tc>
      </w:tr>
    </w:tbl>
    <w:p w14:paraId="4319FD32">
      <w:pPr>
        <w:ind w:firstLine="0" w:firstLineChars="0"/>
        <w:rPr>
          <w:rFonts w:hint="eastAsia"/>
          <w:lang w:eastAsia="zh-CN"/>
        </w:rPr>
      </w:pPr>
    </w:p>
    <w:sectPr>
      <w:pgSz w:w="16838" w:h="11906" w:orient="landscape"/>
      <w:pgMar w:top="1587" w:right="2098" w:bottom="1474" w:left="1985" w:header="1134" w:footer="1134" w:gutter="0"/>
      <w:cols w:space="0" w:num="1"/>
      <w:rtlGutter w:val="0"/>
      <w:docGrid w:type="linesAndChars" w:linePitch="44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BA3C088-507D-4E7E-A0C7-027B03A0A07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5170768F-175F-4356-92D2-DBA25318B6C8}"/>
  </w:font>
  <w:font w:name="楷体_GB2312">
    <w:panose1 w:val="02010609030101010101"/>
    <w:charset w:val="86"/>
    <w:family w:val="modern"/>
    <w:pitch w:val="default"/>
    <w:sig w:usb0="00000001" w:usb1="080E0000" w:usb2="00000000" w:usb3="00000000" w:csb0="00040000" w:csb1="00000000"/>
    <w:embedRegular r:id="rId3" w:fontKey="{51CF1BBF-9CD7-424A-A28F-B9447710C0E4}"/>
  </w:font>
  <w:font w:name="等线 Light">
    <w:panose1 w:val="02010600030101010101"/>
    <w:charset w:val="86"/>
    <w:family w:val="auto"/>
    <w:pitch w:val="default"/>
    <w:sig w:usb0="A00002BF" w:usb1="38CF7CFA" w:usb2="00000016" w:usb3="00000000" w:csb0="0004000F" w:csb1="00000000"/>
  </w:font>
  <w:font w:name="Arial Unicode MS">
    <w:panose1 w:val="020B0604020202020204"/>
    <w:charset w:val="86"/>
    <w:family w:val="swiss"/>
    <w:pitch w:val="default"/>
    <w:sig w:usb0="FFFFFFFF" w:usb1="E9FFFFFF" w:usb2="0000003F" w:usb3="00000000" w:csb0="603F01FF" w:csb1="FFFF0000"/>
  </w:font>
  <w:font w:name="方正小标宋_GBK">
    <w:panose1 w:val="03000509000000000000"/>
    <w:charset w:val="86"/>
    <w:family w:val="auto"/>
    <w:pitch w:val="default"/>
    <w:sig w:usb0="00000001" w:usb1="080E0000" w:usb2="00000000" w:usb3="00000000" w:csb0="00040000" w:csb1="00000000"/>
    <w:embedRegular r:id="rId4" w:fontKey="{743898DB-0FE2-4ECE-8585-A824C39D2B16}"/>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9DF19">
    <w:pPr>
      <w:pStyle w:val="11"/>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86198375"/>
    </w:sdtPr>
    <w:sdtContent>
      <w:p w14:paraId="7B81CE52">
        <w:pPr>
          <w:pStyle w:val="11"/>
        </w:pPr>
        <w:r>
          <w:fldChar w:fldCharType="begin"/>
        </w:r>
        <w:r>
          <w:instrText xml:space="preserve">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67704"/>
    </w:sdtPr>
    <w:sdtContent>
      <w:p w14:paraId="60DD0299">
        <w:pPr>
          <w:pStyle w:val="11"/>
        </w:pPr>
        <w:r>
          <w:fldChar w:fldCharType="begin"/>
        </w:r>
        <w:r>
          <w:instrText xml:space="preserve">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8">
    <w:p>
      <w:pPr>
        <w:ind w:firstLine="640"/>
      </w:pPr>
      <w:r>
        <w:separator/>
      </w:r>
    </w:p>
  </w:footnote>
  <w:footnote w:type="continuationSeparator" w:id="9">
    <w:p>
      <w:pPr>
        <w:ind w:firstLine="640"/>
      </w:pPr>
      <w:r>
        <w:continuationSeparator/>
      </w:r>
    </w:p>
  </w:footnote>
  <w:footnote w:id="0">
    <w:p w14:paraId="571D8581">
      <w:pPr>
        <w:pStyle w:val="14"/>
        <w:snapToGrid w:val="0"/>
        <w:rPr>
          <w:rFonts w:hint="default" w:eastAsia="宋体"/>
          <w:lang w:val="en-US" w:eastAsia="zh-CN"/>
        </w:rPr>
      </w:pPr>
      <w:r>
        <w:rPr>
          <w:rStyle w:val="26"/>
        </w:rPr>
        <w:footnoteRef/>
      </w:r>
      <w:r>
        <w:t xml:space="preserve"> </w:t>
      </w:r>
      <w:r>
        <w:rPr>
          <w:rFonts w:hint="eastAsia"/>
          <w:lang w:val="en-US" w:eastAsia="zh-CN"/>
        </w:rPr>
        <w:t>综合能源消费量以统计局数据为准</w:t>
      </w:r>
    </w:p>
  </w:footnote>
  <w:footnote w:id="1">
    <w:p w14:paraId="5D2A377D">
      <w:pPr>
        <w:pStyle w:val="14"/>
        <w:snapToGrid w:val="0"/>
        <w:rPr>
          <w:rFonts w:hint="default" w:eastAsia="宋体"/>
          <w:lang w:val="en-US" w:eastAsia="zh-CN"/>
        </w:rPr>
      </w:pPr>
      <w:r>
        <w:rPr>
          <w:rStyle w:val="26"/>
        </w:rPr>
        <w:footnoteRef/>
      </w:r>
      <w:r>
        <w:t xml:space="preserve"> </w:t>
      </w:r>
      <w:r>
        <w:rPr>
          <w:rFonts w:hint="eastAsia"/>
          <w:lang w:val="en-US" w:eastAsia="zh-CN"/>
        </w:rPr>
        <w:t>扣除能源加工与转换企业的能源投入与产出</w:t>
      </w:r>
    </w:p>
  </w:footnote>
  <w:footnote w:id="2">
    <w:p w14:paraId="11E18227">
      <w:pPr>
        <w:pStyle w:val="14"/>
        <w:snapToGrid w:val="0"/>
      </w:pPr>
      <w:r>
        <w:rPr>
          <w:rStyle w:val="26"/>
        </w:rPr>
        <w:footnoteRef/>
      </w:r>
      <w:r>
        <w:t xml:space="preserve"> </w:t>
      </w:r>
      <w:r>
        <w:rPr>
          <w:rFonts w:hint="eastAsia"/>
          <w:lang w:val="en-US" w:eastAsia="zh-CN"/>
        </w:rPr>
        <w:t>二氧化碳排放数据以规模以上工业企业排放数据为准</w:t>
      </w:r>
    </w:p>
  </w:footnote>
  <w:footnote w:id="3">
    <w:p w14:paraId="39D2F5B4">
      <w:pPr>
        <w:pStyle w:val="14"/>
        <w:snapToGrid w:val="0"/>
      </w:pPr>
      <w:r>
        <w:rPr>
          <w:rStyle w:val="26"/>
        </w:rPr>
        <w:footnoteRef/>
      </w:r>
      <w:r>
        <w:t xml:space="preserve"> </w:t>
      </w:r>
      <w:r>
        <w:rPr>
          <w:rFonts w:hint="eastAsia"/>
        </w:rPr>
        <w:t>202</w:t>
      </w:r>
      <w:r>
        <w:rPr>
          <w:rFonts w:hint="eastAsia"/>
          <w:lang w:val="en-US" w:eastAsia="zh-CN"/>
        </w:rPr>
        <w:t>4</w:t>
      </w:r>
      <w:r>
        <w:rPr>
          <w:rFonts w:hint="eastAsia"/>
        </w:rPr>
        <w:t>年为相对于202</w:t>
      </w:r>
      <w:r>
        <w:rPr>
          <w:rFonts w:hint="eastAsia"/>
          <w:lang w:val="en-US" w:eastAsia="zh-CN"/>
        </w:rPr>
        <w:t>3</w:t>
      </w:r>
      <w:r>
        <w:rPr>
          <w:rFonts w:hint="eastAsia"/>
        </w:rPr>
        <w:t>年增长率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0C02C">
    <w:pPr>
      <w:pBdr>
        <w:bottom w:val="single" w:color="auto" w:sz="4" w:space="1"/>
      </w:pBdr>
      <w:ind w:firstLine="0" w:firstLineChars="0"/>
      <w:jc w:val="center"/>
      <w:rPr>
        <w:rFonts w:ascii="宋体" w:hAnsi="宋体" w:eastAsia="宋体" w:cs="Times New Roman"/>
        <w:sz w:val="24"/>
        <w:szCs w:val="24"/>
      </w:rPr>
    </w:pPr>
    <w:r>
      <w:rPr>
        <w:rFonts w:hint="eastAsia" w:ascii="宋体" w:hAnsi="宋体" w:eastAsia="宋体" w:cs="Times New Roman"/>
        <w:sz w:val="24"/>
        <w:szCs w:val="24"/>
        <w:lang w:eastAsia="zh-CN"/>
      </w:rPr>
      <w:t>国家碳达峰试点（石河子经济技术开发区）实施方案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B97498"/>
    <w:multiLevelType w:val="singleLevel"/>
    <w:tmpl w:val="81B97498"/>
    <w:lvl w:ilvl="0" w:tentative="0">
      <w:start w:val="1"/>
      <w:numFmt w:val="decimal"/>
      <w:suff w:val="nothing"/>
      <w:lvlText w:val="%1"/>
      <w:lvlJc w:val="left"/>
      <w:pPr>
        <w:tabs>
          <w:tab w:val="left" w:pos="0"/>
        </w:tabs>
        <w:ind w:left="454" w:leftChars="0" w:hanging="454" w:firstLineChars="0"/>
      </w:pPr>
      <w:rPr>
        <w:rFonts w:hint="default" w:ascii="Times New Roman" w:hAnsi="Times New Roman" w:cs="Times New Roman"/>
      </w:rPr>
    </w:lvl>
  </w:abstractNum>
  <w:abstractNum w:abstractNumId="1">
    <w:nsid w:val="361FC20B"/>
    <w:multiLevelType w:val="singleLevel"/>
    <w:tmpl w:val="361FC20B"/>
    <w:lvl w:ilvl="0" w:tentative="0">
      <w:start w:val="1"/>
      <w:numFmt w:val="decimal"/>
      <w:suff w:val="nothing"/>
      <w:lvlText w:val="%1"/>
      <w:lvlJc w:val="left"/>
      <w:pPr>
        <w:tabs>
          <w:tab w:val="left" w:pos="0"/>
        </w:tabs>
        <w:ind w:left="454" w:leftChars="0" w:hanging="454" w:firstLineChars="0"/>
      </w:pPr>
      <w:rPr>
        <w:rFonts w:hint="default" w:ascii="Times New Roman" w:hAnsi="Times New Roman" w:eastAsia="宋体" w:cs="宋体"/>
      </w:rPr>
    </w:lvl>
  </w:abstractNum>
  <w:abstractNum w:abstractNumId="2">
    <w:nsid w:val="76930985"/>
    <w:multiLevelType w:val="singleLevel"/>
    <w:tmpl w:val="76930985"/>
    <w:lvl w:ilvl="0" w:tentative="0">
      <w:start w:val="1"/>
      <w:numFmt w:val="decimal"/>
      <w:suff w:val="nothing"/>
      <w:lvlText w:val="%1"/>
      <w:lvlJc w:val="left"/>
      <w:pPr>
        <w:tabs>
          <w:tab w:val="left" w:pos="0"/>
        </w:tabs>
        <w:ind w:left="454" w:leftChars="0" w:hanging="454" w:firstLineChars="0"/>
      </w:pPr>
      <w:rPr>
        <w:rFonts w:hint="default" w:ascii="Times New Roman" w:hAnsi="Times New Roman" w:cs="Times New Roman"/>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documentProtection w:enforcement="0"/>
  <w:defaultTabStop w:val="420"/>
  <w:drawingGridVerticalSpacing w:val="221"/>
  <w:displayHorizontalDrawingGridEvery w:val="1"/>
  <w:displayVerticalDrawingGridEvery w:val="1"/>
  <w:noPunctuationKerning w:val="1"/>
  <w:characterSpacingControl w:val="doNotCompress"/>
  <w:footnotePr>
    <w:footnote w:id="8"/>
    <w:footnote w:id="9"/>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U2MGQwNzdjNTFlZWRmMzU0Mzk1MGQ5ZDZmNTE2NGMifQ=="/>
  </w:docVars>
  <w:rsids>
    <w:rsidRoot w:val="0082659E"/>
    <w:rsid w:val="00010C5A"/>
    <w:rsid w:val="000123D0"/>
    <w:rsid w:val="00012A5D"/>
    <w:rsid w:val="00013E4A"/>
    <w:rsid w:val="0001409C"/>
    <w:rsid w:val="00015D2D"/>
    <w:rsid w:val="00016248"/>
    <w:rsid w:val="00016D61"/>
    <w:rsid w:val="00017511"/>
    <w:rsid w:val="00017A41"/>
    <w:rsid w:val="00022352"/>
    <w:rsid w:val="00024102"/>
    <w:rsid w:val="0002424E"/>
    <w:rsid w:val="00024953"/>
    <w:rsid w:val="0002581D"/>
    <w:rsid w:val="00030DE0"/>
    <w:rsid w:val="000342D6"/>
    <w:rsid w:val="0003445D"/>
    <w:rsid w:val="00035FF1"/>
    <w:rsid w:val="00040A4A"/>
    <w:rsid w:val="00040ECA"/>
    <w:rsid w:val="00046CFD"/>
    <w:rsid w:val="00050D1A"/>
    <w:rsid w:val="00051F32"/>
    <w:rsid w:val="00054E61"/>
    <w:rsid w:val="000615D9"/>
    <w:rsid w:val="00063BD6"/>
    <w:rsid w:val="00071BEA"/>
    <w:rsid w:val="00073157"/>
    <w:rsid w:val="000766AD"/>
    <w:rsid w:val="000875C8"/>
    <w:rsid w:val="00090E54"/>
    <w:rsid w:val="000916F2"/>
    <w:rsid w:val="000A208B"/>
    <w:rsid w:val="000A7D48"/>
    <w:rsid w:val="000B2FAF"/>
    <w:rsid w:val="000B334A"/>
    <w:rsid w:val="000B4D12"/>
    <w:rsid w:val="000B6F94"/>
    <w:rsid w:val="000B708E"/>
    <w:rsid w:val="000B7E03"/>
    <w:rsid w:val="000D10F6"/>
    <w:rsid w:val="000D2DD4"/>
    <w:rsid w:val="000D34AA"/>
    <w:rsid w:val="000D5965"/>
    <w:rsid w:val="000D59B5"/>
    <w:rsid w:val="000D7072"/>
    <w:rsid w:val="000E03F4"/>
    <w:rsid w:val="000E11BF"/>
    <w:rsid w:val="000E18AD"/>
    <w:rsid w:val="000E2EF9"/>
    <w:rsid w:val="000E371B"/>
    <w:rsid w:val="000E4198"/>
    <w:rsid w:val="000E49A3"/>
    <w:rsid w:val="000E6201"/>
    <w:rsid w:val="000E703C"/>
    <w:rsid w:val="000F426E"/>
    <w:rsid w:val="000F6838"/>
    <w:rsid w:val="000F72FC"/>
    <w:rsid w:val="000F74EA"/>
    <w:rsid w:val="001007F5"/>
    <w:rsid w:val="00102B1F"/>
    <w:rsid w:val="00103870"/>
    <w:rsid w:val="00110611"/>
    <w:rsid w:val="001123D6"/>
    <w:rsid w:val="00114356"/>
    <w:rsid w:val="001156BF"/>
    <w:rsid w:val="00120423"/>
    <w:rsid w:val="0012248A"/>
    <w:rsid w:val="00122C8E"/>
    <w:rsid w:val="0012469D"/>
    <w:rsid w:val="00124DFF"/>
    <w:rsid w:val="00126309"/>
    <w:rsid w:val="00131008"/>
    <w:rsid w:val="001367FC"/>
    <w:rsid w:val="001377E4"/>
    <w:rsid w:val="00144F3D"/>
    <w:rsid w:val="00146F36"/>
    <w:rsid w:val="001503CB"/>
    <w:rsid w:val="00150BFF"/>
    <w:rsid w:val="001521DD"/>
    <w:rsid w:val="00152FD1"/>
    <w:rsid w:val="001543C7"/>
    <w:rsid w:val="00156F37"/>
    <w:rsid w:val="00160617"/>
    <w:rsid w:val="00160F5B"/>
    <w:rsid w:val="001649AD"/>
    <w:rsid w:val="00166A60"/>
    <w:rsid w:val="0016700C"/>
    <w:rsid w:val="001724CC"/>
    <w:rsid w:val="00174B39"/>
    <w:rsid w:val="00174E41"/>
    <w:rsid w:val="00176135"/>
    <w:rsid w:val="00180C24"/>
    <w:rsid w:val="001811A5"/>
    <w:rsid w:val="001819B8"/>
    <w:rsid w:val="00192815"/>
    <w:rsid w:val="00193D24"/>
    <w:rsid w:val="001944B5"/>
    <w:rsid w:val="00195846"/>
    <w:rsid w:val="001A074C"/>
    <w:rsid w:val="001A30C4"/>
    <w:rsid w:val="001A61C7"/>
    <w:rsid w:val="001B0890"/>
    <w:rsid w:val="001B63CC"/>
    <w:rsid w:val="001B7581"/>
    <w:rsid w:val="001C3AC3"/>
    <w:rsid w:val="001C58CD"/>
    <w:rsid w:val="001C6510"/>
    <w:rsid w:val="001D1BAD"/>
    <w:rsid w:val="001D3B5C"/>
    <w:rsid w:val="001D48CC"/>
    <w:rsid w:val="001E0844"/>
    <w:rsid w:val="001E1457"/>
    <w:rsid w:val="001E1B16"/>
    <w:rsid w:val="001E3AC7"/>
    <w:rsid w:val="001E4C35"/>
    <w:rsid w:val="001E6731"/>
    <w:rsid w:val="001E73DE"/>
    <w:rsid w:val="001E76A7"/>
    <w:rsid w:val="001F02B6"/>
    <w:rsid w:val="001F4B60"/>
    <w:rsid w:val="001F6B9D"/>
    <w:rsid w:val="002002AA"/>
    <w:rsid w:val="00201304"/>
    <w:rsid w:val="00202BA5"/>
    <w:rsid w:val="00204C6C"/>
    <w:rsid w:val="002075AE"/>
    <w:rsid w:val="00210281"/>
    <w:rsid w:val="0021228D"/>
    <w:rsid w:val="00212480"/>
    <w:rsid w:val="00212EB6"/>
    <w:rsid w:val="002140AC"/>
    <w:rsid w:val="00215ABC"/>
    <w:rsid w:val="00220C8F"/>
    <w:rsid w:val="00227986"/>
    <w:rsid w:val="00227BBE"/>
    <w:rsid w:val="00227E7E"/>
    <w:rsid w:val="002304EB"/>
    <w:rsid w:val="00231F33"/>
    <w:rsid w:val="002320F7"/>
    <w:rsid w:val="00250E9E"/>
    <w:rsid w:val="00250F17"/>
    <w:rsid w:val="002550AF"/>
    <w:rsid w:val="0025647D"/>
    <w:rsid w:val="0025685D"/>
    <w:rsid w:val="002569BE"/>
    <w:rsid w:val="002574EA"/>
    <w:rsid w:val="002602EC"/>
    <w:rsid w:val="0026081D"/>
    <w:rsid w:val="002617A6"/>
    <w:rsid w:val="00261FC9"/>
    <w:rsid w:val="00263063"/>
    <w:rsid w:val="00267702"/>
    <w:rsid w:val="00267788"/>
    <w:rsid w:val="00273472"/>
    <w:rsid w:val="0027502C"/>
    <w:rsid w:val="00283622"/>
    <w:rsid w:val="0028505C"/>
    <w:rsid w:val="00285562"/>
    <w:rsid w:val="00285AFD"/>
    <w:rsid w:val="00287705"/>
    <w:rsid w:val="00293097"/>
    <w:rsid w:val="002941A5"/>
    <w:rsid w:val="00295EBE"/>
    <w:rsid w:val="00297BE4"/>
    <w:rsid w:val="002A148E"/>
    <w:rsid w:val="002B2067"/>
    <w:rsid w:val="002C27D3"/>
    <w:rsid w:val="002C5449"/>
    <w:rsid w:val="002C55E7"/>
    <w:rsid w:val="002C6F11"/>
    <w:rsid w:val="002C7CA8"/>
    <w:rsid w:val="002C7FAA"/>
    <w:rsid w:val="002D1F57"/>
    <w:rsid w:val="002D49C9"/>
    <w:rsid w:val="002D4DB1"/>
    <w:rsid w:val="002D4E0B"/>
    <w:rsid w:val="002D5F87"/>
    <w:rsid w:val="002E0B83"/>
    <w:rsid w:val="002E0CCE"/>
    <w:rsid w:val="002E22C4"/>
    <w:rsid w:val="002E4D56"/>
    <w:rsid w:val="002E76BE"/>
    <w:rsid w:val="002F1AC6"/>
    <w:rsid w:val="002F51C8"/>
    <w:rsid w:val="002F54D3"/>
    <w:rsid w:val="002F58CC"/>
    <w:rsid w:val="0030026C"/>
    <w:rsid w:val="003036EB"/>
    <w:rsid w:val="00303998"/>
    <w:rsid w:val="0030463E"/>
    <w:rsid w:val="00306129"/>
    <w:rsid w:val="00310AA4"/>
    <w:rsid w:val="00310F6C"/>
    <w:rsid w:val="00312784"/>
    <w:rsid w:val="00315FD4"/>
    <w:rsid w:val="0031607C"/>
    <w:rsid w:val="00320961"/>
    <w:rsid w:val="00322A72"/>
    <w:rsid w:val="00324749"/>
    <w:rsid w:val="00324F9A"/>
    <w:rsid w:val="0032739B"/>
    <w:rsid w:val="00330FD8"/>
    <w:rsid w:val="0033472B"/>
    <w:rsid w:val="00335656"/>
    <w:rsid w:val="00337A2C"/>
    <w:rsid w:val="00340DF2"/>
    <w:rsid w:val="00341747"/>
    <w:rsid w:val="003448D2"/>
    <w:rsid w:val="00346E6B"/>
    <w:rsid w:val="00350C4D"/>
    <w:rsid w:val="0035165B"/>
    <w:rsid w:val="00354C94"/>
    <w:rsid w:val="0036152E"/>
    <w:rsid w:val="003643BB"/>
    <w:rsid w:val="00366BCD"/>
    <w:rsid w:val="00371E62"/>
    <w:rsid w:val="00375ED4"/>
    <w:rsid w:val="003767D8"/>
    <w:rsid w:val="003816B2"/>
    <w:rsid w:val="00381D9D"/>
    <w:rsid w:val="00382156"/>
    <w:rsid w:val="003823A7"/>
    <w:rsid w:val="0038735C"/>
    <w:rsid w:val="00387684"/>
    <w:rsid w:val="00387988"/>
    <w:rsid w:val="003901BD"/>
    <w:rsid w:val="00390838"/>
    <w:rsid w:val="003916F2"/>
    <w:rsid w:val="0039218C"/>
    <w:rsid w:val="00392AD5"/>
    <w:rsid w:val="00393D1A"/>
    <w:rsid w:val="003A2118"/>
    <w:rsid w:val="003B3680"/>
    <w:rsid w:val="003B3DF2"/>
    <w:rsid w:val="003B4A16"/>
    <w:rsid w:val="003B4F34"/>
    <w:rsid w:val="003B5FBF"/>
    <w:rsid w:val="003B62E8"/>
    <w:rsid w:val="003C058B"/>
    <w:rsid w:val="003C0E33"/>
    <w:rsid w:val="003C10AC"/>
    <w:rsid w:val="003C3DC2"/>
    <w:rsid w:val="003C65F9"/>
    <w:rsid w:val="003D09D5"/>
    <w:rsid w:val="003D1EBA"/>
    <w:rsid w:val="003D25EE"/>
    <w:rsid w:val="003D54E3"/>
    <w:rsid w:val="003E6E83"/>
    <w:rsid w:val="003E7B24"/>
    <w:rsid w:val="003E7EEA"/>
    <w:rsid w:val="003F5EDC"/>
    <w:rsid w:val="004033B7"/>
    <w:rsid w:val="00404A60"/>
    <w:rsid w:val="0040517F"/>
    <w:rsid w:val="00405653"/>
    <w:rsid w:val="00407DC3"/>
    <w:rsid w:val="0041339C"/>
    <w:rsid w:val="0041341E"/>
    <w:rsid w:val="0041349F"/>
    <w:rsid w:val="00422E92"/>
    <w:rsid w:val="0042594B"/>
    <w:rsid w:val="004260F7"/>
    <w:rsid w:val="0042660F"/>
    <w:rsid w:val="004271CE"/>
    <w:rsid w:val="004359F6"/>
    <w:rsid w:val="00443B73"/>
    <w:rsid w:val="00445F9D"/>
    <w:rsid w:val="0044660F"/>
    <w:rsid w:val="004479E3"/>
    <w:rsid w:val="00450AEE"/>
    <w:rsid w:val="0045289F"/>
    <w:rsid w:val="004554B4"/>
    <w:rsid w:val="00456043"/>
    <w:rsid w:val="004560C4"/>
    <w:rsid w:val="00462544"/>
    <w:rsid w:val="004636DE"/>
    <w:rsid w:val="0046489F"/>
    <w:rsid w:val="00464A9F"/>
    <w:rsid w:val="00465A2A"/>
    <w:rsid w:val="004661FD"/>
    <w:rsid w:val="004663EF"/>
    <w:rsid w:val="00470CC3"/>
    <w:rsid w:val="004714E4"/>
    <w:rsid w:val="00472B7D"/>
    <w:rsid w:val="00472D04"/>
    <w:rsid w:val="00473539"/>
    <w:rsid w:val="00473990"/>
    <w:rsid w:val="00475098"/>
    <w:rsid w:val="00482584"/>
    <w:rsid w:val="00482CFE"/>
    <w:rsid w:val="004863A2"/>
    <w:rsid w:val="00492199"/>
    <w:rsid w:val="0049341D"/>
    <w:rsid w:val="00494288"/>
    <w:rsid w:val="00496B58"/>
    <w:rsid w:val="004979A1"/>
    <w:rsid w:val="004A04B9"/>
    <w:rsid w:val="004A3690"/>
    <w:rsid w:val="004A4123"/>
    <w:rsid w:val="004A42A7"/>
    <w:rsid w:val="004A7977"/>
    <w:rsid w:val="004B133C"/>
    <w:rsid w:val="004B2A16"/>
    <w:rsid w:val="004B3B5D"/>
    <w:rsid w:val="004B3E06"/>
    <w:rsid w:val="004B729A"/>
    <w:rsid w:val="004C644A"/>
    <w:rsid w:val="004C71DC"/>
    <w:rsid w:val="004C7C83"/>
    <w:rsid w:val="004D0B4A"/>
    <w:rsid w:val="004D103A"/>
    <w:rsid w:val="004D1D76"/>
    <w:rsid w:val="004D31D5"/>
    <w:rsid w:val="004D4F31"/>
    <w:rsid w:val="004D5DF7"/>
    <w:rsid w:val="004D72D7"/>
    <w:rsid w:val="004E083F"/>
    <w:rsid w:val="004E0B57"/>
    <w:rsid w:val="004E427D"/>
    <w:rsid w:val="004E4497"/>
    <w:rsid w:val="004E4E7A"/>
    <w:rsid w:val="004E4F9C"/>
    <w:rsid w:val="004E5ED6"/>
    <w:rsid w:val="004E62AF"/>
    <w:rsid w:val="004F1761"/>
    <w:rsid w:val="004F36F4"/>
    <w:rsid w:val="004F4D03"/>
    <w:rsid w:val="004F6903"/>
    <w:rsid w:val="005058BB"/>
    <w:rsid w:val="00505D85"/>
    <w:rsid w:val="005060F6"/>
    <w:rsid w:val="00507483"/>
    <w:rsid w:val="00512320"/>
    <w:rsid w:val="0051453F"/>
    <w:rsid w:val="005148E4"/>
    <w:rsid w:val="00514CE6"/>
    <w:rsid w:val="00514FBE"/>
    <w:rsid w:val="00515368"/>
    <w:rsid w:val="005160A7"/>
    <w:rsid w:val="00520525"/>
    <w:rsid w:val="0052303A"/>
    <w:rsid w:val="00523E25"/>
    <w:rsid w:val="005319A1"/>
    <w:rsid w:val="00532253"/>
    <w:rsid w:val="00535E78"/>
    <w:rsid w:val="00537BE0"/>
    <w:rsid w:val="0054297C"/>
    <w:rsid w:val="0054595C"/>
    <w:rsid w:val="005461A7"/>
    <w:rsid w:val="005462B9"/>
    <w:rsid w:val="0054673F"/>
    <w:rsid w:val="005472B9"/>
    <w:rsid w:val="00547A40"/>
    <w:rsid w:val="0055026A"/>
    <w:rsid w:val="00554432"/>
    <w:rsid w:val="00555072"/>
    <w:rsid w:val="005555F3"/>
    <w:rsid w:val="00560755"/>
    <w:rsid w:val="00563276"/>
    <w:rsid w:val="0056595B"/>
    <w:rsid w:val="00572610"/>
    <w:rsid w:val="005764FB"/>
    <w:rsid w:val="00576F61"/>
    <w:rsid w:val="005813C9"/>
    <w:rsid w:val="005830EC"/>
    <w:rsid w:val="00583926"/>
    <w:rsid w:val="0058492A"/>
    <w:rsid w:val="00585A9D"/>
    <w:rsid w:val="00587696"/>
    <w:rsid w:val="00595E20"/>
    <w:rsid w:val="005974FD"/>
    <w:rsid w:val="005A2551"/>
    <w:rsid w:val="005A3420"/>
    <w:rsid w:val="005A3C20"/>
    <w:rsid w:val="005A45C5"/>
    <w:rsid w:val="005A68C0"/>
    <w:rsid w:val="005B1C1A"/>
    <w:rsid w:val="005B1C3F"/>
    <w:rsid w:val="005B20EA"/>
    <w:rsid w:val="005B4315"/>
    <w:rsid w:val="005B5EDD"/>
    <w:rsid w:val="005B62D7"/>
    <w:rsid w:val="005C0ABB"/>
    <w:rsid w:val="005C0D4F"/>
    <w:rsid w:val="005C11DB"/>
    <w:rsid w:val="005C1303"/>
    <w:rsid w:val="005C2837"/>
    <w:rsid w:val="005C3059"/>
    <w:rsid w:val="005C5EA4"/>
    <w:rsid w:val="005D0485"/>
    <w:rsid w:val="005D052A"/>
    <w:rsid w:val="005D05D1"/>
    <w:rsid w:val="005D4CBF"/>
    <w:rsid w:val="005D6B0E"/>
    <w:rsid w:val="005E08F3"/>
    <w:rsid w:val="005E192F"/>
    <w:rsid w:val="005E19F2"/>
    <w:rsid w:val="005E35B4"/>
    <w:rsid w:val="005E3946"/>
    <w:rsid w:val="005E4086"/>
    <w:rsid w:val="005E4A85"/>
    <w:rsid w:val="005F1B1F"/>
    <w:rsid w:val="005F39C2"/>
    <w:rsid w:val="005F3B53"/>
    <w:rsid w:val="005F68CC"/>
    <w:rsid w:val="00600084"/>
    <w:rsid w:val="00602D96"/>
    <w:rsid w:val="00603A9B"/>
    <w:rsid w:val="00607027"/>
    <w:rsid w:val="00607421"/>
    <w:rsid w:val="00613BF8"/>
    <w:rsid w:val="00615DC5"/>
    <w:rsid w:val="00616A45"/>
    <w:rsid w:val="00620B37"/>
    <w:rsid w:val="00620C85"/>
    <w:rsid w:val="00620CD6"/>
    <w:rsid w:val="00622214"/>
    <w:rsid w:val="00622694"/>
    <w:rsid w:val="006226BA"/>
    <w:rsid w:val="006229B4"/>
    <w:rsid w:val="00623CFA"/>
    <w:rsid w:val="0062578B"/>
    <w:rsid w:val="006266EC"/>
    <w:rsid w:val="00630B1E"/>
    <w:rsid w:val="006314B1"/>
    <w:rsid w:val="0063458B"/>
    <w:rsid w:val="00636BF0"/>
    <w:rsid w:val="00636FCB"/>
    <w:rsid w:val="006371C6"/>
    <w:rsid w:val="0064234A"/>
    <w:rsid w:val="00645704"/>
    <w:rsid w:val="00651382"/>
    <w:rsid w:val="006525ED"/>
    <w:rsid w:val="006532BF"/>
    <w:rsid w:val="00656328"/>
    <w:rsid w:val="00657217"/>
    <w:rsid w:val="00662026"/>
    <w:rsid w:val="0066264A"/>
    <w:rsid w:val="006629EB"/>
    <w:rsid w:val="00666A87"/>
    <w:rsid w:val="0067130F"/>
    <w:rsid w:val="00671315"/>
    <w:rsid w:val="006758C3"/>
    <w:rsid w:val="00677B26"/>
    <w:rsid w:val="00680308"/>
    <w:rsid w:val="0068198D"/>
    <w:rsid w:val="00681A88"/>
    <w:rsid w:val="00681FF7"/>
    <w:rsid w:val="006832FB"/>
    <w:rsid w:val="00683AE3"/>
    <w:rsid w:val="006844F5"/>
    <w:rsid w:val="00691137"/>
    <w:rsid w:val="00693BDC"/>
    <w:rsid w:val="00694542"/>
    <w:rsid w:val="00694DE6"/>
    <w:rsid w:val="006951A9"/>
    <w:rsid w:val="006A0E0F"/>
    <w:rsid w:val="006A2DC7"/>
    <w:rsid w:val="006A2E52"/>
    <w:rsid w:val="006A3671"/>
    <w:rsid w:val="006A387A"/>
    <w:rsid w:val="006A3F9F"/>
    <w:rsid w:val="006A45E9"/>
    <w:rsid w:val="006A5CE1"/>
    <w:rsid w:val="006A7753"/>
    <w:rsid w:val="006B2DE1"/>
    <w:rsid w:val="006B3F73"/>
    <w:rsid w:val="006B48B5"/>
    <w:rsid w:val="006C0D24"/>
    <w:rsid w:val="006C3E11"/>
    <w:rsid w:val="006D0032"/>
    <w:rsid w:val="006D15B8"/>
    <w:rsid w:val="006E03A6"/>
    <w:rsid w:val="006E1035"/>
    <w:rsid w:val="006E2FF0"/>
    <w:rsid w:val="006E67DC"/>
    <w:rsid w:val="006E7666"/>
    <w:rsid w:val="006E7A6A"/>
    <w:rsid w:val="006F1D41"/>
    <w:rsid w:val="006F4BFB"/>
    <w:rsid w:val="006F4E13"/>
    <w:rsid w:val="006F53BC"/>
    <w:rsid w:val="00700962"/>
    <w:rsid w:val="00706660"/>
    <w:rsid w:val="00707FB9"/>
    <w:rsid w:val="00711AA6"/>
    <w:rsid w:val="00713FE7"/>
    <w:rsid w:val="00715B73"/>
    <w:rsid w:val="00717BAB"/>
    <w:rsid w:val="00720C23"/>
    <w:rsid w:val="00721D15"/>
    <w:rsid w:val="0072241F"/>
    <w:rsid w:val="007228B6"/>
    <w:rsid w:val="007243C2"/>
    <w:rsid w:val="007278BE"/>
    <w:rsid w:val="0073083A"/>
    <w:rsid w:val="00731553"/>
    <w:rsid w:val="00731C69"/>
    <w:rsid w:val="00737E70"/>
    <w:rsid w:val="00740C3A"/>
    <w:rsid w:val="00742493"/>
    <w:rsid w:val="00744F34"/>
    <w:rsid w:val="00744F57"/>
    <w:rsid w:val="00745098"/>
    <w:rsid w:val="0074778E"/>
    <w:rsid w:val="007517B5"/>
    <w:rsid w:val="007551EB"/>
    <w:rsid w:val="0075625A"/>
    <w:rsid w:val="007671E6"/>
    <w:rsid w:val="00770784"/>
    <w:rsid w:val="00770A98"/>
    <w:rsid w:val="00772604"/>
    <w:rsid w:val="007753F0"/>
    <w:rsid w:val="007809DA"/>
    <w:rsid w:val="007826DA"/>
    <w:rsid w:val="00783FAF"/>
    <w:rsid w:val="00784B54"/>
    <w:rsid w:val="007858AF"/>
    <w:rsid w:val="00785D5D"/>
    <w:rsid w:val="00785E39"/>
    <w:rsid w:val="00791516"/>
    <w:rsid w:val="00791F14"/>
    <w:rsid w:val="00792EE8"/>
    <w:rsid w:val="0079332F"/>
    <w:rsid w:val="007940FA"/>
    <w:rsid w:val="007A143B"/>
    <w:rsid w:val="007A5CB6"/>
    <w:rsid w:val="007A708A"/>
    <w:rsid w:val="007A7626"/>
    <w:rsid w:val="007B3230"/>
    <w:rsid w:val="007B45CF"/>
    <w:rsid w:val="007B48FB"/>
    <w:rsid w:val="007B4C6B"/>
    <w:rsid w:val="007B5388"/>
    <w:rsid w:val="007B64B1"/>
    <w:rsid w:val="007C2087"/>
    <w:rsid w:val="007C2BF2"/>
    <w:rsid w:val="007C5177"/>
    <w:rsid w:val="007C79F5"/>
    <w:rsid w:val="007D0780"/>
    <w:rsid w:val="007D10E3"/>
    <w:rsid w:val="007D1E25"/>
    <w:rsid w:val="007D302C"/>
    <w:rsid w:val="007D4EEE"/>
    <w:rsid w:val="007D5F53"/>
    <w:rsid w:val="007D5F76"/>
    <w:rsid w:val="007D6443"/>
    <w:rsid w:val="007D6885"/>
    <w:rsid w:val="007D7A9A"/>
    <w:rsid w:val="007E3E4D"/>
    <w:rsid w:val="007E4437"/>
    <w:rsid w:val="007E4793"/>
    <w:rsid w:val="007E6AF0"/>
    <w:rsid w:val="007E6FED"/>
    <w:rsid w:val="007E7583"/>
    <w:rsid w:val="007F0098"/>
    <w:rsid w:val="007F2132"/>
    <w:rsid w:val="007F577F"/>
    <w:rsid w:val="007F6A04"/>
    <w:rsid w:val="007F757D"/>
    <w:rsid w:val="007F7981"/>
    <w:rsid w:val="00801267"/>
    <w:rsid w:val="00801A78"/>
    <w:rsid w:val="008053F8"/>
    <w:rsid w:val="00810621"/>
    <w:rsid w:val="00810E8C"/>
    <w:rsid w:val="0081630F"/>
    <w:rsid w:val="00817C17"/>
    <w:rsid w:val="00822232"/>
    <w:rsid w:val="00823160"/>
    <w:rsid w:val="00823537"/>
    <w:rsid w:val="008238FF"/>
    <w:rsid w:val="00823C31"/>
    <w:rsid w:val="00824D79"/>
    <w:rsid w:val="00824EF6"/>
    <w:rsid w:val="00825165"/>
    <w:rsid w:val="0082659E"/>
    <w:rsid w:val="00826AC0"/>
    <w:rsid w:val="00826D64"/>
    <w:rsid w:val="0083262E"/>
    <w:rsid w:val="0083349A"/>
    <w:rsid w:val="0083472A"/>
    <w:rsid w:val="008373AE"/>
    <w:rsid w:val="00840154"/>
    <w:rsid w:val="00840932"/>
    <w:rsid w:val="00842114"/>
    <w:rsid w:val="00842BD1"/>
    <w:rsid w:val="0084421B"/>
    <w:rsid w:val="00845DDD"/>
    <w:rsid w:val="008466AC"/>
    <w:rsid w:val="00851AA9"/>
    <w:rsid w:val="00852BB3"/>
    <w:rsid w:val="00854D8F"/>
    <w:rsid w:val="00855958"/>
    <w:rsid w:val="00861677"/>
    <w:rsid w:val="00863F24"/>
    <w:rsid w:val="00864C06"/>
    <w:rsid w:val="0087280C"/>
    <w:rsid w:val="0087777E"/>
    <w:rsid w:val="00877AFF"/>
    <w:rsid w:val="00881529"/>
    <w:rsid w:val="00883461"/>
    <w:rsid w:val="00885037"/>
    <w:rsid w:val="00886900"/>
    <w:rsid w:val="00886D48"/>
    <w:rsid w:val="008902DE"/>
    <w:rsid w:val="00891256"/>
    <w:rsid w:val="00892385"/>
    <w:rsid w:val="008A0F0D"/>
    <w:rsid w:val="008A29CD"/>
    <w:rsid w:val="008A45D3"/>
    <w:rsid w:val="008B185D"/>
    <w:rsid w:val="008B42FA"/>
    <w:rsid w:val="008B5A7F"/>
    <w:rsid w:val="008C0957"/>
    <w:rsid w:val="008C09B1"/>
    <w:rsid w:val="008C16AC"/>
    <w:rsid w:val="008C242C"/>
    <w:rsid w:val="008C343C"/>
    <w:rsid w:val="008C3603"/>
    <w:rsid w:val="008C3726"/>
    <w:rsid w:val="008C3AE4"/>
    <w:rsid w:val="008D18D6"/>
    <w:rsid w:val="008D5F3C"/>
    <w:rsid w:val="008D67C1"/>
    <w:rsid w:val="008D7A6E"/>
    <w:rsid w:val="008E0C4E"/>
    <w:rsid w:val="008E1988"/>
    <w:rsid w:val="008E5CF9"/>
    <w:rsid w:val="008E7E27"/>
    <w:rsid w:val="008F07DE"/>
    <w:rsid w:val="008F286F"/>
    <w:rsid w:val="008F2EF6"/>
    <w:rsid w:val="008F3529"/>
    <w:rsid w:val="008F3927"/>
    <w:rsid w:val="008F51FD"/>
    <w:rsid w:val="00900009"/>
    <w:rsid w:val="009000F5"/>
    <w:rsid w:val="0090018A"/>
    <w:rsid w:val="00900324"/>
    <w:rsid w:val="00900AE3"/>
    <w:rsid w:val="00905324"/>
    <w:rsid w:val="009056EB"/>
    <w:rsid w:val="009067DE"/>
    <w:rsid w:val="00910AB9"/>
    <w:rsid w:val="00910D36"/>
    <w:rsid w:val="0091463C"/>
    <w:rsid w:val="00915114"/>
    <w:rsid w:val="009153D4"/>
    <w:rsid w:val="00915FFC"/>
    <w:rsid w:val="00916316"/>
    <w:rsid w:val="00916C5C"/>
    <w:rsid w:val="0092047F"/>
    <w:rsid w:val="00921C30"/>
    <w:rsid w:val="009256F7"/>
    <w:rsid w:val="009322C2"/>
    <w:rsid w:val="00937899"/>
    <w:rsid w:val="00937B29"/>
    <w:rsid w:val="00940609"/>
    <w:rsid w:val="009448D9"/>
    <w:rsid w:val="00945076"/>
    <w:rsid w:val="0094522E"/>
    <w:rsid w:val="00946165"/>
    <w:rsid w:val="0094656F"/>
    <w:rsid w:val="00946B7C"/>
    <w:rsid w:val="009471D4"/>
    <w:rsid w:val="009519B9"/>
    <w:rsid w:val="00952387"/>
    <w:rsid w:val="009543E7"/>
    <w:rsid w:val="00954E50"/>
    <w:rsid w:val="00957A26"/>
    <w:rsid w:val="0096152E"/>
    <w:rsid w:val="009651A1"/>
    <w:rsid w:val="00965648"/>
    <w:rsid w:val="00965B13"/>
    <w:rsid w:val="0096718F"/>
    <w:rsid w:val="00972D1A"/>
    <w:rsid w:val="009761C9"/>
    <w:rsid w:val="00977880"/>
    <w:rsid w:val="00981EEC"/>
    <w:rsid w:val="00983D0D"/>
    <w:rsid w:val="00983EC1"/>
    <w:rsid w:val="00990C46"/>
    <w:rsid w:val="00991271"/>
    <w:rsid w:val="0099215C"/>
    <w:rsid w:val="00994334"/>
    <w:rsid w:val="0099469D"/>
    <w:rsid w:val="00994F4F"/>
    <w:rsid w:val="009A2A6F"/>
    <w:rsid w:val="009A6A7B"/>
    <w:rsid w:val="009A6F0A"/>
    <w:rsid w:val="009B083A"/>
    <w:rsid w:val="009B1018"/>
    <w:rsid w:val="009B12C2"/>
    <w:rsid w:val="009B2162"/>
    <w:rsid w:val="009B3901"/>
    <w:rsid w:val="009B5079"/>
    <w:rsid w:val="009B5744"/>
    <w:rsid w:val="009B631F"/>
    <w:rsid w:val="009C4478"/>
    <w:rsid w:val="009C4C51"/>
    <w:rsid w:val="009C7126"/>
    <w:rsid w:val="009D1215"/>
    <w:rsid w:val="009D41F6"/>
    <w:rsid w:val="009D6688"/>
    <w:rsid w:val="009E1983"/>
    <w:rsid w:val="009E48E9"/>
    <w:rsid w:val="009E495A"/>
    <w:rsid w:val="009E579F"/>
    <w:rsid w:val="009F0285"/>
    <w:rsid w:val="009F158A"/>
    <w:rsid w:val="009F1AC7"/>
    <w:rsid w:val="009F464E"/>
    <w:rsid w:val="009F47AA"/>
    <w:rsid w:val="009F77B0"/>
    <w:rsid w:val="00A01A0F"/>
    <w:rsid w:val="00A02429"/>
    <w:rsid w:val="00A02D02"/>
    <w:rsid w:val="00A03AF6"/>
    <w:rsid w:val="00A03D91"/>
    <w:rsid w:val="00A10C0F"/>
    <w:rsid w:val="00A10DE4"/>
    <w:rsid w:val="00A1163C"/>
    <w:rsid w:val="00A11FCE"/>
    <w:rsid w:val="00A135F9"/>
    <w:rsid w:val="00A165FE"/>
    <w:rsid w:val="00A21FD5"/>
    <w:rsid w:val="00A23984"/>
    <w:rsid w:val="00A307CC"/>
    <w:rsid w:val="00A3294F"/>
    <w:rsid w:val="00A32AA3"/>
    <w:rsid w:val="00A4146B"/>
    <w:rsid w:val="00A42E65"/>
    <w:rsid w:val="00A43E5F"/>
    <w:rsid w:val="00A458F9"/>
    <w:rsid w:val="00A474F6"/>
    <w:rsid w:val="00A5076B"/>
    <w:rsid w:val="00A519D2"/>
    <w:rsid w:val="00A53E08"/>
    <w:rsid w:val="00A54D4B"/>
    <w:rsid w:val="00A55BCF"/>
    <w:rsid w:val="00A568B4"/>
    <w:rsid w:val="00A57641"/>
    <w:rsid w:val="00A57E53"/>
    <w:rsid w:val="00A6029B"/>
    <w:rsid w:val="00A60F8F"/>
    <w:rsid w:val="00A65697"/>
    <w:rsid w:val="00A6696A"/>
    <w:rsid w:val="00A67EF1"/>
    <w:rsid w:val="00A7141E"/>
    <w:rsid w:val="00A74791"/>
    <w:rsid w:val="00A7514D"/>
    <w:rsid w:val="00A75C68"/>
    <w:rsid w:val="00A835F3"/>
    <w:rsid w:val="00A84ADF"/>
    <w:rsid w:val="00A85732"/>
    <w:rsid w:val="00A86509"/>
    <w:rsid w:val="00A92AD5"/>
    <w:rsid w:val="00A9584C"/>
    <w:rsid w:val="00A95BB9"/>
    <w:rsid w:val="00A96CC6"/>
    <w:rsid w:val="00A97F2D"/>
    <w:rsid w:val="00AA2EC9"/>
    <w:rsid w:val="00AA3EE5"/>
    <w:rsid w:val="00AA5C8D"/>
    <w:rsid w:val="00AB2147"/>
    <w:rsid w:val="00AB31FB"/>
    <w:rsid w:val="00AB41C9"/>
    <w:rsid w:val="00AB52CD"/>
    <w:rsid w:val="00AB6F1D"/>
    <w:rsid w:val="00AB782B"/>
    <w:rsid w:val="00AC2162"/>
    <w:rsid w:val="00AC2A9F"/>
    <w:rsid w:val="00AC2FB8"/>
    <w:rsid w:val="00AC66B4"/>
    <w:rsid w:val="00AC76C0"/>
    <w:rsid w:val="00AC7FF6"/>
    <w:rsid w:val="00AD0476"/>
    <w:rsid w:val="00AD0A66"/>
    <w:rsid w:val="00AD2FDC"/>
    <w:rsid w:val="00AD5ABC"/>
    <w:rsid w:val="00AD6F89"/>
    <w:rsid w:val="00AD7F04"/>
    <w:rsid w:val="00AE0FC0"/>
    <w:rsid w:val="00AE1C9D"/>
    <w:rsid w:val="00AE54CB"/>
    <w:rsid w:val="00AE570B"/>
    <w:rsid w:val="00AE6B1F"/>
    <w:rsid w:val="00AF06B4"/>
    <w:rsid w:val="00AF3615"/>
    <w:rsid w:val="00AF3C82"/>
    <w:rsid w:val="00AF4171"/>
    <w:rsid w:val="00AF4AA2"/>
    <w:rsid w:val="00AF5F49"/>
    <w:rsid w:val="00AF7748"/>
    <w:rsid w:val="00B01231"/>
    <w:rsid w:val="00B04F6E"/>
    <w:rsid w:val="00B0559C"/>
    <w:rsid w:val="00B05A53"/>
    <w:rsid w:val="00B17112"/>
    <w:rsid w:val="00B21502"/>
    <w:rsid w:val="00B25DC7"/>
    <w:rsid w:val="00B305ED"/>
    <w:rsid w:val="00B32F40"/>
    <w:rsid w:val="00B33445"/>
    <w:rsid w:val="00B33C64"/>
    <w:rsid w:val="00B34914"/>
    <w:rsid w:val="00B35018"/>
    <w:rsid w:val="00B44612"/>
    <w:rsid w:val="00B47D8D"/>
    <w:rsid w:val="00B52E45"/>
    <w:rsid w:val="00B60B58"/>
    <w:rsid w:val="00B61C88"/>
    <w:rsid w:val="00B622E2"/>
    <w:rsid w:val="00B639F7"/>
    <w:rsid w:val="00B63A09"/>
    <w:rsid w:val="00B64126"/>
    <w:rsid w:val="00B659B6"/>
    <w:rsid w:val="00B65F62"/>
    <w:rsid w:val="00B66E64"/>
    <w:rsid w:val="00B70082"/>
    <w:rsid w:val="00B75D4C"/>
    <w:rsid w:val="00B7715B"/>
    <w:rsid w:val="00B77CC0"/>
    <w:rsid w:val="00B8081A"/>
    <w:rsid w:val="00B81A92"/>
    <w:rsid w:val="00B827DD"/>
    <w:rsid w:val="00B83C16"/>
    <w:rsid w:val="00B84B76"/>
    <w:rsid w:val="00B85FAC"/>
    <w:rsid w:val="00B86432"/>
    <w:rsid w:val="00B90EBA"/>
    <w:rsid w:val="00B91C38"/>
    <w:rsid w:val="00B9304C"/>
    <w:rsid w:val="00B9321D"/>
    <w:rsid w:val="00B94B3C"/>
    <w:rsid w:val="00B94D46"/>
    <w:rsid w:val="00B955BE"/>
    <w:rsid w:val="00B97206"/>
    <w:rsid w:val="00BA2ED3"/>
    <w:rsid w:val="00BB05E0"/>
    <w:rsid w:val="00BB1813"/>
    <w:rsid w:val="00BB51D5"/>
    <w:rsid w:val="00BB6B06"/>
    <w:rsid w:val="00BC3B0A"/>
    <w:rsid w:val="00BC4804"/>
    <w:rsid w:val="00BC6F4F"/>
    <w:rsid w:val="00BC6F9C"/>
    <w:rsid w:val="00BC79B6"/>
    <w:rsid w:val="00BC7F41"/>
    <w:rsid w:val="00BD3B94"/>
    <w:rsid w:val="00BD3D10"/>
    <w:rsid w:val="00BD7105"/>
    <w:rsid w:val="00BE0CC8"/>
    <w:rsid w:val="00BE2D85"/>
    <w:rsid w:val="00BE5146"/>
    <w:rsid w:val="00BF26DA"/>
    <w:rsid w:val="00BF2914"/>
    <w:rsid w:val="00BF30FD"/>
    <w:rsid w:val="00BF6790"/>
    <w:rsid w:val="00BF6962"/>
    <w:rsid w:val="00BF6C40"/>
    <w:rsid w:val="00BF793C"/>
    <w:rsid w:val="00C01898"/>
    <w:rsid w:val="00C03CC9"/>
    <w:rsid w:val="00C04398"/>
    <w:rsid w:val="00C0478D"/>
    <w:rsid w:val="00C0497D"/>
    <w:rsid w:val="00C04CC9"/>
    <w:rsid w:val="00C1244B"/>
    <w:rsid w:val="00C1318E"/>
    <w:rsid w:val="00C13766"/>
    <w:rsid w:val="00C15EF9"/>
    <w:rsid w:val="00C21258"/>
    <w:rsid w:val="00C235A8"/>
    <w:rsid w:val="00C23E2E"/>
    <w:rsid w:val="00C2653D"/>
    <w:rsid w:val="00C270FE"/>
    <w:rsid w:val="00C27F41"/>
    <w:rsid w:val="00C318CF"/>
    <w:rsid w:val="00C324F4"/>
    <w:rsid w:val="00C326BE"/>
    <w:rsid w:val="00C32959"/>
    <w:rsid w:val="00C32CC8"/>
    <w:rsid w:val="00C3436C"/>
    <w:rsid w:val="00C351E5"/>
    <w:rsid w:val="00C3590A"/>
    <w:rsid w:val="00C41842"/>
    <w:rsid w:val="00C53394"/>
    <w:rsid w:val="00C55732"/>
    <w:rsid w:val="00C5597B"/>
    <w:rsid w:val="00C566E1"/>
    <w:rsid w:val="00C56B86"/>
    <w:rsid w:val="00C64D31"/>
    <w:rsid w:val="00C6511A"/>
    <w:rsid w:val="00C660C4"/>
    <w:rsid w:val="00C6664C"/>
    <w:rsid w:val="00C7184B"/>
    <w:rsid w:val="00C7196F"/>
    <w:rsid w:val="00C733BC"/>
    <w:rsid w:val="00C75A1A"/>
    <w:rsid w:val="00C76C2D"/>
    <w:rsid w:val="00C8296B"/>
    <w:rsid w:val="00C8488E"/>
    <w:rsid w:val="00C852AA"/>
    <w:rsid w:val="00C86C4E"/>
    <w:rsid w:val="00C90195"/>
    <w:rsid w:val="00C90FA2"/>
    <w:rsid w:val="00C91F0D"/>
    <w:rsid w:val="00C92641"/>
    <w:rsid w:val="00C94B9E"/>
    <w:rsid w:val="00C951B0"/>
    <w:rsid w:val="00C95C9C"/>
    <w:rsid w:val="00C97D06"/>
    <w:rsid w:val="00CA0A29"/>
    <w:rsid w:val="00CA130C"/>
    <w:rsid w:val="00CA1BC5"/>
    <w:rsid w:val="00CA5ED6"/>
    <w:rsid w:val="00CA6C5A"/>
    <w:rsid w:val="00CB128B"/>
    <w:rsid w:val="00CB3FFA"/>
    <w:rsid w:val="00CB4624"/>
    <w:rsid w:val="00CC0A2A"/>
    <w:rsid w:val="00CC24C6"/>
    <w:rsid w:val="00CC6F2B"/>
    <w:rsid w:val="00CD0220"/>
    <w:rsid w:val="00CD094E"/>
    <w:rsid w:val="00CD47AF"/>
    <w:rsid w:val="00CD4B5C"/>
    <w:rsid w:val="00CD5BC6"/>
    <w:rsid w:val="00CD6301"/>
    <w:rsid w:val="00CE24F9"/>
    <w:rsid w:val="00CF0BC5"/>
    <w:rsid w:val="00CF5A40"/>
    <w:rsid w:val="00CF764D"/>
    <w:rsid w:val="00D00483"/>
    <w:rsid w:val="00D01721"/>
    <w:rsid w:val="00D049E5"/>
    <w:rsid w:val="00D04EC2"/>
    <w:rsid w:val="00D11B3F"/>
    <w:rsid w:val="00D15845"/>
    <w:rsid w:val="00D1659C"/>
    <w:rsid w:val="00D1676B"/>
    <w:rsid w:val="00D1718B"/>
    <w:rsid w:val="00D17E5B"/>
    <w:rsid w:val="00D21D95"/>
    <w:rsid w:val="00D2244F"/>
    <w:rsid w:val="00D237FB"/>
    <w:rsid w:val="00D23EC8"/>
    <w:rsid w:val="00D275C0"/>
    <w:rsid w:val="00D304B5"/>
    <w:rsid w:val="00D30C5D"/>
    <w:rsid w:val="00D30EF3"/>
    <w:rsid w:val="00D32966"/>
    <w:rsid w:val="00D332FB"/>
    <w:rsid w:val="00D334CF"/>
    <w:rsid w:val="00D42E98"/>
    <w:rsid w:val="00D47B85"/>
    <w:rsid w:val="00D50878"/>
    <w:rsid w:val="00D54757"/>
    <w:rsid w:val="00D57C40"/>
    <w:rsid w:val="00D6134D"/>
    <w:rsid w:val="00D666AB"/>
    <w:rsid w:val="00D67501"/>
    <w:rsid w:val="00D7035E"/>
    <w:rsid w:val="00D71B82"/>
    <w:rsid w:val="00D71D00"/>
    <w:rsid w:val="00D71FB3"/>
    <w:rsid w:val="00D74309"/>
    <w:rsid w:val="00D7517A"/>
    <w:rsid w:val="00D826D1"/>
    <w:rsid w:val="00D90BB6"/>
    <w:rsid w:val="00D9134C"/>
    <w:rsid w:val="00D924A5"/>
    <w:rsid w:val="00D927B9"/>
    <w:rsid w:val="00D92872"/>
    <w:rsid w:val="00D94DEE"/>
    <w:rsid w:val="00D96AE4"/>
    <w:rsid w:val="00D97318"/>
    <w:rsid w:val="00D97DA3"/>
    <w:rsid w:val="00D97DB7"/>
    <w:rsid w:val="00DA1D8D"/>
    <w:rsid w:val="00DA7472"/>
    <w:rsid w:val="00DB0799"/>
    <w:rsid w:val="00DB23BD"/>
    <w:rsid w:val="00DC2C0B"/>
    <w:rsid w:val="00DC2CFE"/>
    <w:rsid w:val="00DC2DA7"/>
    <w:rsid w:val="00DC2EF2"/>
    <w:rsid w:val="00DC5E18"/>
    <w:rsid w:val="00DD18D4"/>
    <w:rsid w:val="00DD308C"/>
    <w:rsid w:val="00DD3ED7"/>
    <w:rsid w:val="00DD5052"/>
    <w:rsid w:val="00DE2A79"/>
    <w:rsid w:val="00DE4AE4"/>
    <w:rsid w:val="00DE55AF"/>
    <w:rsid w:val="00DE65EB"/>
    <w:rsid w:val="00DE7292"/>
    <w:rsid w:val="00DE78F8"/>
    <w:rsid w:val="00DF2460"/>
    <w:rsid w:val="00DF5FA9"/>
    <w:rsid w:val="00DF63E0"/>
    <w:rsid w:val="00E008C8"/>
    <w:rsid w:val="00E01C89"/>
    <w:rsid w:val="00E04902"/>
    <w:rsid w:val="00E04C5B"/>
    <w:rsid w:val="00E05D1C"/>
    <w:rsid w:val="00E066EB"/>
    <w:rsid w:val="00E110B9"/>
    <w:rsid w:val="00E11D36"/>
    <w:rsid w:val="00E13125"/>
    <w:rsid w:val="00E13848"/>
    <w:rsid w:val="00E2068F"/>
    <w:rsid w:val="00E213DC"/>
    <w:rsid w:val="00E22FB8"/>
    <w:rsid w:val="00E250ED"/>
    <w:rsid w:val="00E26747"/>
    <w:rsid w:val="00E3211A"/>
    <w:rsid w:val="00E3316B"/>
    <w:rsid w:val="00E35464"/>
    <w:rsid w:val="00E43573"/>
    <w:rsid w:val="00E4489D"/>
    <w:rsid w:val="00E52EF3"/>
    <w:rsid w:val="00E5446A"/>
    <w:rsid w:val="00E60583"/>
    <w:rsid w:val="00E609E6"/>
    <w:rsid w:val="00E61A00"/>
    <w:rsid w:val="00E67B43"/>
    <w:rsid w:val="00E67E79"/>
    <w:rsid w:val="00E70D55"/>
    <w:rsid w:val="00E726CC"/>
    <w:rsid w:val="00E740AE"/>
    <w:rsid w:val="00E75021"/>
    <w:rsid w:val="00E75352"/>
    <w:rsid w:val="00E76E1C"/>
    <w:rsid w:val="00E77F54"/>
    <w:rsid w:val="00E8224A"/>
    <w:rsid w:val="00E83DA4"/>
    <w:rsid w:val="00E8602E"/>
    <w:rsid w:val="00E875E1"/>
    <w:rsid w:val="00E879CE"/>
    <w:rsid w:val="00E90E67"/>
    <w:rsid w:val="00E92E7B"/>
    <w:rsid w:val="00E938D8"/>
    <w:rsid w:val="00E94933"/>
    <w:rsid w:val="00E9643E"/>
    <w:rsid w:val="00EA257A"/>
    <w:rsid w:val="00EA3607"/>
    <w:rsid w:val="00EA4F9D"/>
    <w:rsid w:val="00EA54EC"/>
    <w:rsid w:val="00EA5852"/>
    <w:rsid w:val="00EA603C"/>
    <w:rsid w:val="00EA6905"/>
    <w:rsid w:val="00EA6BCB"/>
    <w:rsid w:val="00EA6C0C"/>
    <w:rsid w:val="00EB1C0E"/>
    <w:rsid w:val="00EB71D5"/>
    <w:rsid w:val="00EB7507"/>
    <w:rsid w:val="00EC2E1A"/>
    <w:rsid w:val="00ED1000"/>
    <w:rsid w:val="00ED7D03"/>
    <w:rsid w:val="00EE0E8C"/>
    <w:rsid w:val="00EE0F28"/>
    <w:rsid w:val="00EE1762"/>
    <w:rsid w:val="00EE2516"/>
    <w:rsid w:val="00EE5834"/>
    <w:rsid w:val="00EE60F0"/>
    <w:rsid w:val="00EE7701"/>
    <w:rsid w:val="00EF068C"/>
    <w:rsid w:val="00EF11AE"/>
    <w:rsid w:val="00EF2551"/>
    <w:rsid w:val="00EF4590"/>
    <w:rsid w:val="00EF7C94"/>
    <w:rsid w:val="00F03068"/>
    <w:rsid w:val="00F044FF"/>
    <w:rsid w:val="00F052C1"/>
    <w:rsid w:val="00F06AD8"/>
    <w:rsid w:val="00F10DB9"/>
    <w:rsid w:val="00F13361"/>
    <w:rsid w:val="00F144D0"/>
    <w:rsid w:val="00F14F47"/>
    <w:rsid w:val="00F16704"/>
    <w:rsid w:val="00F23322"/>
    <w:rsid w:val="00F31A75"/>
    <w:rsid w:val="00F3262E"/>
    <w:rsid w:val="00F3398F"/>
    <w:rsid w:val="00F356DB"/>
    <w:rsid w:val="00F35DDC"/>
    <w:rsid w:val="00F361DE"/>
    <w:rsid w:val="00F41369"/>
    <w:rsid w:val="00F43634"/>
    <w:rsid w:val="00F500C3"/>
    <w:rsid w:val="00F545A0"/>
    <w:rsid w:val="00F55DD6"/>
    <w:rsid w:val="00F56B37"/>
    <w:rsid w:val="00F5782B"/>
    <w:rsid w:val="00F6018E"/>
    <w:rsid w:val="00F6149C"/>
    <w:rsid w:val="00F63442"/>
    <w:rsid w:val="00F64872"/>
    <w:rsid w:val="00F66818"/>
    <w:rsid w:val="00F7119C"/>
    <w:rsid w:val="00F72523"/>
    <w:rsid w:val="00F73E3D"/>
    <w:rsid w:val="00F74D04"/>
    <w:rsid w:val="00F76AE2"/>
    <w:rsid w:val="00F76CAE"/>
    <w:rsid w:val="00F76E4C"/>
    <w:rsid w:val="00F80DB8"/>
    <w:rsid w:val="00F8488E"/>
    <w:rsid w:val="00F90382"/>
    <w:rsid w:val="00F90F27"/>
    <w:rsid w:val="00F90FE5"/>
    <w:rsid w:val="00F92096"/>
    <w:rsid w:val="00F9288A"/>
    <w:rsid w:val="00F938B5"/>
    <w:rsid w:val="00F94689"/>
    <w:rsid w:val="00F950CC"/>
    <w:rsid w:val="00F9785D"/>
    <w:rsid w:val="00FA0A5A"/>
    <w:rsid w:val="00FA1A36"/>
    <w:rsid w:val="00FA2422"/>
    <w:rsid w:val="00FA685A"/>
    <w:rsid w:val="00FA74A5"/>
    <w:rsid w:val="00FA74B8"/>
    <w:rsid w:val="00FB1C2F"/>
    <w:rsid w:val="00FB2552"/>
    <w:rsid w:val="00FB262D"/>
    <w:rsid w:val="00FB5DE2"/>
    <w:rsid w:val="00FC11FB"/>
    <w:rsid w:val="00FD2070"/>
    <w:rsid w:val="00FD3412"/>
    <w:rsid w:val="00FD655D"/>
    <w:rsid w:val="00FD78D1"/>
    <w:rsid w:val="00FE111D"/>
    <w:rsid w:val="00FE1E10"/>
    <w:rsid w:val="00FE3D83"/>
    <w:rsid w:val="00FE6658"/>
    <w:rsid w:val="00FF322C"/>
    <w:rsid w:val="00FF36E9"/>
    <w:rsid w:val="00FF5914"/>
    <w:rsid w:val="00FF63FC"/>
    <w:rsid w:val="013F16F5"/>
    <w:rsid w:val="021B340A"/>
    <w:rsid w:val="02733B2E"/>
    <w:rsid w:val="02A12A4C"/>
    <w:rsid w:val="031D5B9C"/>
    <w:rsid w:val="035E2B6B"/>
    <w:rsid w:val="039263B6"/>
    <w:rsid w:val="04BF44B1"/>
    <w:rsid w:val="04ED76E2"/>
    <w:rsid w:val="05300538"/>
    <w:rsid w:val="05646DD4"/>
    <w:rsid w:val="06202540"/>
    <w:rsid w:val="06273F31"/>
    <w:rsid w:val="06317314"/>
    <w:rsid w:val="079C0106"/>
    <w:rsid w:val="07C67CF6"/>
    <w:rsid w:val="082B7544"/>
    <w:rsid w:val="084F72A2"/>
    <w:rsid w:val="08770E0E"/>
    <w:rsid w:val="09721374"/>
    <w:rsid w:val="098E402D"/>
    <w:rsid w:val="09D7003D"/>
    <w:rsid w:val="09DD66E0"/>
    <w:rsid w:val="0A4405EF"/>
    <w:rsid w:val="0AA67CB9"/>
    <w:rsid w:val="0AC74583"/>
    <w:rsid w:val="0ACF33A4"/>
    <w:rsid w:val="0AFE3E0A"/>
    <w:rsid w:val="0B2E3C80"/>
    <w:rsid w:val="0C006EB6"/>
    <w:rsid w:val="0C3802E3"/>
    <w:rsid w:val="0C4A6383"/>
    <w:rsid w:val="0D1129FD"/>
    <w:rsid w:val="0D9771A5"/>
    <w:rsid w:val="0D996AFF"/>
    <w:rsid w:val="0DB12A61"/>
    <w:rsid w:val="0EE85C5D"/>
    <w:rsid w:val="0F1F58A5"/>
    <w:rsid w:val="0F9252AE"/>
    <w:rsid w:val="0FA261AA"/>
    <w:rsid w:val="0FD209FC"/>
    <w:rsid w:val="123F2FE7"/>
    <w:rsid w:val="12467B94"/>
    <w:rsid w:val="13114643"/>
    <w:rsid w:val="135E6EFD"/>
    <w:rsid w:val="14C257D6"/>
    <w:rsid w:val="15F423EC"/>
    <w:rsid w:val="17496E3D"/>
    <w:rsid w:val="178169D1"/>
    <w:rsid w:val="17883760"/>
    <w:rsid w:val="17E473BD"/>
    <w:rsid w:val="18AF1859"/>
    <w:rsid w:val="18DA22CD"/>
    <w:rsid w:val="191564C7"/>
    <w:rsid w:val="196E3F2F"/>
    <w:rsid w:val="1A752574"/>
    <w:rsid w:val="1B3F2D9E"/>
    <w:rsid w:val="1B770BF6"/>
    <w:rsid w:val="1BA6649B"/>
    <w:rsid w:val="1BC73E71"/>
    <w:rsid w:val="1D0C3334"/>
    <w:rsid w:val="1D1A04F9"/>
    <w:rsid w:val="1D9102B8"/>
    <w:rsid w:val="1DCB1FE6"/>
    <w:rsid w:val="1F444032"/>
    <w:rsid w:val="20A239EE"/>
    <w:rsid w:val="212D38AA"/>
    <w:rsid w:val="21375227"/>
    <w:rsid w:val="217A53EE"/>
    <w:rsid w:val="219E13E6"/>
    <w:rsid w:val="222C009E"/>
    <w:rsid w:val="23244A25"/>
    <w:rsid w:val="23ED2245"/>
    <w:rsid w:val="24B23423"/>
    <w:rsid w:val="24FF4085"/>
    <w:rsid w:val="258D16A2"/>
    <w:rsid w:val="25997280"/>
    <w:rsid w:val="25EF6FBF"/>
    <w:rsid w:val="267B565F"/>
    <w:rsid w:val="27BF6852"/>
    <w:rsid w:val="28075567"/>
    <w:rsid w:val="28513F3C"/>
    <w:rsid w:val="287B44D7"/>
    <w:rsid w:val="299C7FD3"/>
    <w:rsid w:val="29E4043D"/>
    <w:rsid w:val="2A677518"/>
    <w:rsid w:val="2AB11453"/>
    <w:rsid w:val="2AB2764A"/>
    <w:rsid w:val="2AD60D34"/>
    <w:rsid w:val="2B252D4A"/>
    <w:rsid w:val="2B9451FE"/>
    <w:rsid w:val="2B9B2B1C"/>
    <w:rsid w:val="2CB45338"/>
    <w:rsid w:val="2D284468"/>
    <w:rsid w:val="2D391DD0"/>
    <w:rsid w:val="2E68668A"/>
    <w:rsid w:val="2F016DF9"/>
    <w:rsid w:val="2F8A1761"/>
    <w:rsid w:val="2F8C2EA8"/>
    <w:rsid w:val="30332B78"/>
    <w:rsid w:val="30FA2ABF"/>
    <w:rsid w:val="31346E4F"/>
    <w:rsid w:val="31E16592"/>
    <w:rsid w:val="32412581"/>
    <w:rsid w:val="32741D63"/>
    <w:rsid w:val="327B19F8"/>
    <w:rsid w:val="335828C0"/>
    <w:rsid w:val="337A1D0A"/>
    <w:rsid w:val="3390362C"/>
    <w:rsid w:val="34CD6639"/>
    <w:rsid w:val="34F574BC"/>
    <w:rsid w:val="355A3EC7"/>
    <w:rsid w:val="355D1F24"/>
    <w:rsid w:val="360C474D"/>
    <w:rsid w:val="36845760"/>
    <w:rsid w:val="36930EDD"/>
    <w:rsid w:val="380B04EE"/>
    <w:rsid w:val="380D773D"/>
    <w:rsid w:val="38C742E0"/>
    <w:rsid w:val="39896207"/>
    <w:rsid w:val="3A6F730F"/>
    <w:rsid w:val="3B590DDC"/>
    <w:rsid w:val="3B700F04"/>
    <w:rsid w:val="3B7501DA"/>
    <w:rsid w:val="3BCC77E9"/>
    <w:rsid w:val="3C214FD7"/>
    <w:rsid w:val="3C4418DF"/>
    <w:rsid w:val="3C537EB3"/>
    <w:rsid w:val="3D3B1450"/>
    <w:rsid w:val="3D47204C"/>
    <w:rsid w:val="3D9814C7"/>
    <w:rsid w:val="3D9904B2"/>
    <w:rsid w:val="3DC07228"/>
    <w:rsid w:val="3EBE08C5"/>
    <w:rsid w:val="3ECA2A56"/>
    <w:rsid w:val="3F221A5C"/>
    <w:rsid w:val="40040F74"/>
    <w:rsid w:val="4109715B"/>
    <w:rsid w:val="41520324"/>
    <w:rsid w:val="41D82272"/>
    <w:rsid w:val="41F025CB"/>
    <w:rsid w:val="4297767A"/>
    <w:rsid w:val="43194498"/>
    <w:rsid w:val="436D4C7A"/>
    <w:rsid w:val="4398221A"/>
    <w:rsid w:val="44523BF9"/>
    <w:rsid w:val="44A65701"/>
    <w:rsid w:val="4508389C"/>
    <w:rsid w:val="45205754"/>
    <w:rsid w:val="453E12B7"/>
    <w:rsid w:val="45C04A86"/>
    <w:rsid w:val="45FF6D54"/>
    <w:rsid w:val="463A1567"/>
    <w:rsid w:val="465539B7"/>
    <w:rsid w:val="46912F8C"/>
    <w:rsid w:val="474252A2"/>
    <w:rsid w:val="478279F3"/>
    <w:rsid w:val="47C2489C"/>
    <w:rsid w:val="49641B2B"/>
    <w:rsid w:val="4989722D"/>
    <w:rsid w:val="4B0029EB"/>
    <w:rsid w:val="4B1F3F5B"/>
    <w:rsid w:val="4B5C0B5C"/>
    <w:rsid w:val="4BC52D55"/>
    <w:rsid w:val="4BD4478D"/>
    <w:rsid w:val="4BFA58C7"/>
    <w:rsid w:val="4CEF4C4B"/>
    <w:rsid w:val="4D635420"/>
    <w:rsid w:val="4DC7761B"/>
    <w:rsid w:val="4EB518CB"/>
    <w:rsid w:val="4ED41C29"/>
    <w:rsid w:val="4F540C54"/>
    <w:rsid w:val="4F582AB5"/>
    <w:rsid w:val="4F935C93"/>
    <w:rsid w:val="4FDF04D8"/>
    <w:rsid w:val="52061E60"/>
    <w:rsid w:val="54A02FD4"/>
    <w:rsid w:val="54A925E6"/>
    <w:rsid w:val="55207957"/>
    <w:rsid w:val="553A2C43"/>
    <w:rsid w:val="553A7EFC"/>
    <w:rsid w:val="555E38D2"/>
    <w:rsid w:val="557A0EF3"/>
    <w:rsid w:val="55980B4B"/>
    <w:rsid w:val="57967CC2"/>
    <w:rsid w:val="585220E3"/>
    <w:rsid w:val="589D6188"/>
    <w:rsid w:val="58A0143A"/>
    <w:rsid w:val="59280B8F"/>
    <w:rsid w:val="5AEE1A81"/>
    <w:rsid w:val="5BEF3BA6"/>
    <w:rsid w:val="5C1D6295"/>
    <w:rsid w:val="5C564D8D"/>
    <w:rsid w:val="5CB030C7"/>
    <w:rsid w:val="5D1E23F9"/>
    <w:rsid w:val="5D341163"/>
    <w:rsid w:val="5D593A43"/>
    <w:rsid w:val="5ED56ACA"/>
    <w:rsid w:val="5F3C01EA"/>
    <w:rsid w:val="5F4104AD"/>
    <w:rsid w:val="5F481947"/>
    <w:rsid w:val="5F490803"/>
    <w:rsid w:val="5FD90725"/>
    <w:rsid w:val="601076FF"/>
    <w:rsid w:val="601F7309"/>
    <w:rsid w:val="608024B3"/>
    <w:rsid w:val="60EB112B"/>
    <w:rsid w:val="612E2292"/>
    <w:rsid w:val="61BE453D"/>
    <w:rsid w:val="624E69F8"/>
    <w:rsid w:val="63202864"/>
    <w:rsid w:val="63CD4F1E"/>
    <w:rsid w:val="644D00F2"/>
    <w:rsid w:val="64DE2980"/>
    <w:rsid w:val="655F01DD"/>
    <w:rsid w:val="655F3FB5"/>
    <w:rsid w:val="65913850"/>
    <w:rsid w:val="66E67A63"/>
    <w:rsid w:val="672D762E"/>
    <w:rsid w:val="67753688"/>
    <w:rsid w:val="67F527DA"/>
    <w:rsid w:val="682742B3"/>
    <w:rsid w:val="68355718"/>
    <w:rsid w:val="690B301D"/>
    <w:rsid w:val="69580D63"/>
    <w:rsid w:val="6999422E"/>
    <w:rsid w:val="69DA65B5"/>
    <w:rsid w:val="69E055CF"/>
    <w:rsid w:val="69E30964"/>
    <w:rsid w:val="69EC37D4"/>
    <w:rsid w:val="6A0333FA"/>
    <w:rsid w:val="6A7B19E6"/>
    <w:rsid w:val="6A9869F9"/>
    <w:rsid w:val="6AB13CE9"/>
    <w:rsid w:val="6AB340C8"/>
    <w:rsid w:val="6B096E63"/>
    <w:rsid w:val="6BE13554"/>
    <w:rsid w:val="6C6C0368"/>
    <w:rsid w:val="6C863872"/>
    <w:rsid w:val="6CB36530"/>
    <w:rsid w:val="6CF53661"/>
    <w:rsid w:val="6D7400F5"/>
    <w:rsid w:val="6D7F5C4F"/>
    <w:rsid w:val="6D9263B7"/>
    <w:rsid w:val="6DA34911"/>
    <w:rsid w:val="6DDB756A"/>
    <w:rsid w:val="6E146439"/>
    <w:rsid w:val="6E4E39C1"/>
    <w:rsid w:val="6EC15CB8"/>
    <w:rsid w:val="6EF02DAA"/>
    <w:rsid w:val="6F604C76"/>
    <w:rsid w:val="71237A52"/>
    <w:rsid w:val="714964C5"/>
    <w:rsid w:val="71595CB7"/>
    <w:rsid w:val="71DB3A9D"/>
    <w:rsid w:val="72272389"/>
    <w:rsid w:val="72533767"/>
    <w:rsid w:val="726E4325"/>
    <w:rsid w:val="7284605A"/>
    <w:rsid w:val="72D17F19"/>
    <w:rsid w:val="72DA5906"/>
    <w:rsid w:val="73642682"/>
    <w:rsid w:val="73BB0A93"/>
    <w:rsid w:val="73FE3544"/>
    <w:rsid w:val="742C22DD"/>
    <w:rsid w:val="742C65F4"/>
    <w:rsid w:val="744C3010"/>
    <w:rsid w:val="74846A9D"/>
    <w:rsid w:val="752445F2"/>
    <w:rsid w:val="76AB207F"/>
    <w:rsid w:val="76D03A27"/>
    <w:rsid w:val="783E50BC"/>
    <w:rsid w:val="787C1215"/>
    <w:rsid w:val="78BA350F"/>
    <w:rsid w:val="79263107"/>
    <w:rsid w:val="7AAB125A"/>
    <w:rsid w:val="7BCD3478"/>
    <w:rsid w:val="7BDF7522"/>
    <w:rsid w:val="7C000E68"/>
    <w:rsid w:val="7CF32CF5"/>
    <w:rsid w:val="7D214757"/>
    <w:rsid w:val="7D80321C"/>
    <w:rsid w:val="7DAD24F0"/>
    <w:rsid w:val="7DDD542C"/>
    <w:rsid w:val="7EE83F6A"/>
    <w:rsid w:val="7EFC7E6D"/>
    <w:rsid w:val="7F481D6E"/>
    <w:rsid w:val="7F4F5EB6"/>
    <w:rsid w:val="7F6A46FD"/>
    <w:rsid w:val="7F795C44"/>
    <w:rsid w:val="7FEA2D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qFormat="1" w:uiPriority="0" w:semiHidden="0"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0" w:semiHidden="0"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ind w:firstLine="200" w:firstLineChars="200"/>
      <w:jc w:val="both"/>
    </w:pPr>
    <w:rPr>
      <w:rFonts w:ascii="Times New Roman" w:hAnsi="Times New Roman" w:eastAsia="仿宋_GB2312" w:cstheme="minorBidi"/>
      <w:kern w:val="2"/>
      <w:sz w:val="32"/>
      <w:szCs w:val="22"/>
      <w:lang w:val="en-US" w:eastAsia="zh-CN" w:bidi="ar-SA"/>
    </w:rPr>
  </w:style>
  <w:style w:type="paragraph" w:styleId="2">
    <w:name w:val="heading 1"/>
    <w:basedOn w:val="1"/>
    <w:next w:val="1"/>
    <w:link w:val="29"/>
    <w:autoRedefine/>
    <w:qFormat/>
    <w:uiPriority w:val="9"/>
    <w:pPr>
      <w:keepNext/>
      <w:keepLines/>
      <w:outlineLvl w:val="0"/>
    </w:pPr>
    <w:rPr>
      <w:rFonts w:eastAsia="黑体"/>
      <w:bCs/>
      <w:kern w:val="44"/>
      <w:szCs w:val="44"/>
    </w:rPr>
  </w:style>
  <w:style w:type="paragraph" w:styleId="3">
    <w:name w:val="heading 2"/>
    <w:basedOn w:val="1"/>
    <w:next w:val="1"/>
    <w:link w:val="30"/>
    <w:autoRedefine/>
    <w:unhideWhenUsed/>
    <w:qFormat/>
    <w:uiPriority w:val="0"/>
    <w:pPr>
      <w:keepNext/>
      <w:keepLines/>
      <w:outlineLvl w:val="1"/>
    </w:pPr>
    <w:rPr>
      <w:rFonts w:eastAsia="楷体_GB2312" w:cstheme="majorBidi"/>
      <w:bCs/>
      <w:szCs w:val="32"/>
    </w:rPr>
  </w:style>
  <w:style w:type="paragraph" w:styleId="4">
    <w:name w:val="heading 3"/>
    <w:basedOn w:val="1"/>
    <w:next w:val="1"/>
    <w:link w:val="31"/>
    <w:autoRedefine/>
    <w:unhideWhenUsed/>
    <w:qFormat/>
    <w:uiPriority w:val="9"/>
    <w:pPr>
      <w:keepNext/>
      <w:keepLines/>
      <w:ind w:firstLine="640" w:firstLineChars="0"/>
      <w:outlineLvl w:val="2"/>
    </w:pPr>
    <w:rPr>
      <w:b/>
      <w:bCs/>
      <w:szCs w:val="32"/>
      <w:lang w:val="en"/>
    </w:rPr>
  </w:style>
  <w:style w:type="paragraph" w:styleId="5">
    <w:name w:val="heading 4"/>
    <w:basedOn w:val="1"/>
    <w:next w:val="1"/>
    <w:link w:val="32"/>
    <w:autoRedefine/>
    <w:unhideWhenUsed/>
    <w:qFormat/>
    <w:uiPriority w:val="9"/>
    <w:pPr>
      <w:keepNext/>
      <w:keepLines/>
      <w:ind w:firstLine="640"/>
      <w:outlineLvl w:val="3"/>
    </w:pPr>
    <w:rPr>
      <w:rFonts w:cstheme="majorBidi"/>
      <w:bCs/>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38"/>
    <w:autoRedefine/>
    <w:unhideWhenUsed/>
    <w:qFormat/>
    <w:uiPriority w:val="0"/>
    <w:pPr>
      <w:overflowPunct/>
      <w:ind w:firstLine="0" w:firstLineChars="0"/>
      <w:jc w:val="left"/>
    </w:pPr>
    <w:rPr>
      <w:rFonts w:ascii="宋体" w:hAnsi="宋体" w:eastAsia="宋体" w:cs="宋体"/>
      <w:kern w:val="0"/>
      <w:sz w:val="24"/>
      <w:szCs w:val="24"/>
    </w:rPr>
  </w:style>
  <w:style w:type="paragraph" w:styleId="7">
    <w:name w:val="Body Text"/>
    <w:basedOn w:val="1"/>
    <w:next w:val="8"/>
    <w:link w:val="39"/>
    <w:autoRedefine/>
    <w:qFormat/>
    <w:uiPriority w:val="0"/>
    <w:pPr>
      <w:overflowPunct/>
      <w:ind w:firstLine="0" w:firstLineChars="0"/>
      <w:jc w:val="left"/>
    </w:pPr>
    <w:rPr>
      <w:rFonts w:ascii="宋体" w:hAnsi="宋体" w:cs="宋体"/>
      <w:kern w:val="0"/>
      <w:sz w:val="30"/>
      <w:szCs w:val="24"/>
    </w:rPr>
  </w:style>
  <w:style w:type="paragraph" w:styleId="8">
    <w:name w:val="toc 5"/>
    <w:basedOn w:val="1"/>
    <w:next w:val="1"/>
    <w:autoRedefine/>
    <w:unhideWhenUsed/>
    <w:qFormat/>
    <w:uiPriority w:val="0"/>
    <w:pPr>
      <w:overflowPunct/>
      <w:ind w:left="1680" w:leftChars="800" w:firstLine="0" w:firstLineChars="0"/>
      <w:jc w:val="left"/>
    </w:pPr>
    <w:rPr>
      <w:rFonts w:ascii="宋体" w:hAnsi="宋体" w:eastAsia="宋体" w:cs="宋体"/>
      <w:kern w:val="0"/>
      <w:sz w:val="24"/>
      <w:szCs w:val="24"/>
    </w:rPr>
  </w:style>
  <w:style w:type="paragraph" w:styleId="9">
    <w:name w:val="toc 3"/>
    <w:basedOn w:val="1"/>
    <w:next w:val="1"/>
    <w:autoRedefine/>
    <w:unhideWhenUsed/>
    <w:qFormat/>
    <w:uiPriority w:val="39"/>
    <w:pPr>
      <w:ind w:left="840" w:leftChars="400"/>
    </w:pPr>
  </w:style>
  <w:style w:type="paragraph" w:styleId="10">
    <w:name w:val="endnote text"/>
    <w:basedOn w:val="1"/>
    <w:link w:val="65"/>
    <w:autoRedefine/>
    <w:semiHidden/>
    <w:unhideWhenUsed/>
    <w:qFormat/>
    <w:uiPriority w:val="99"/>
    <w:pPr>
      <w:snapToGrid w:val="0"/>
      <w:jc w:val="left"/>
    </w:pPr>
  </w:style>
  <w:style w:type="paragraph" w:styleId="11">
    <w:name w:val="footer"/>
    <w:basedOn w:val="1"/>
    <w:link w:val="28"/>
    <w:autoRedefine/>
    <w:unhideWhenUsed/>
    <w:qFormat/>
    <w:uiPriority w:val="99"/>
    <w:pPr>
      <w:tabs>
        <w:tab w:val="center" w:pos="4153"/>
        <w:tab w:val="right" w:pos="8306"/>
      </w:tabs>
      <w:snapToGrid w:val="0"/>
      <w:ind w:firstLine="0" w:firstLineChars="0"/>
      <w:jc w:val="center"/>
    </w:pPr>
    <w:rPr>
      <w:sz w:val="18"/>
      <w:szCs w:val="18"/>
    </w:rPr>
  </w:style>
  <w:style w:type="paragraph" w:styleId="12">
    <w:name w:val="header"/>
    <w:basedOn w:val="1"/>
    <w:link w:val="27"/>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autoRedefine/>
    <w:unhideWhenUsed/>
    <w:qFormat/>
    <w:uiPriority w:val="39"/>
    <w:pPr>
      <w:spacing w:line="360" w:lineRule="auto"/>
      <w:ind w:firstLine="0" w:firstLineChars="0"/>
    </w:pPr>
    <w:rPr>
      <w:rFonts w:eastAsia="黑体"/>
    </w:rPr>
  </w:style>
  <w:style w:type="paragraph" w:styleId="14">
    <w:name w:val="footnote text"/>
    <w:basedOn w:val="1"/>
    <w:link w:val="40"/>
    <w:autoRedefine/>
    <w:unhideWhenUsed/>
    <w:qFormat/>
    <w:uiPriority w:val="99"/>
    <w:pPr>
      <w:overflowPunct/>
      <w:snapToGrid w:val="0"/>
      <w:ind w:firstLine="0" w:firstLineChars="0"/>
      <w:jc w:val="left"/>
    </w:pPr>
    <w:rPr>
      <w:rFonts w:ascii="宋体" w:hAnsi="宋体" w:eastAsia="宋体" w:cs="宋体"/>
      <w:kern w:val="0"/>
      <w:sz w:val="18"/>
      <w:szCs w:val="18"/>
    </w:rPr>
  </w:style>
  <w:style w:type="paragraph" w:styleId="15">
    <w:name w:val="toc 2"/>
    <w:basedOn w:val="1"/>
    <w:next w:val="1"/>
    <w:autoRedefine/>
    <w:unhideWhenUsed/>
    <w:qFormat/>
    <w:uiPriority w:val="39"/>
    <w:pPr>
      <w:ind w:left="200" w:leftChars="200" w:firstLine="0" w:firstLineChars="0"/>
    </w:pPr>
  </w:style>
  <w:style w:type="paragraph" w:styleId="16">
    <w:name w:val="Title"/>
    <w:basedOn w:val="1"/>
    <w:next w:val="1"/>
    <w:link w:val="64"/>
    <w:autoRedefine/>
    <w:qFormat/>
    <w:uiPriority w:val="10"/>
    <w:pPr>
      <w:spacing w:before="240" w:after="60"/>
      <w:jc w:val="center"/>
      <w:outlineLvl w:val="0"/>
    </w:pPr>
    <w:rPr>
      <w:rFonts w:asciiTheme="majorHAnsi" w:hAnsiTheme="majorHAnsi" w:eastAsiaTheme="majorEastAsia" w:cstheme="majorBidi"/>
      <w:b/>
      <w:bCs/>
      <w:szCs w:val="32"/>
    </w:rPr>
  </w:style>
  <w:style w:type="paragraph" w:styleId="17">
    <w:name w:val="annotation subject"/>
    <w:basedOn w:val="6"/>
    <w:next w:val="6"/>
    <w:link w:val="41"/>
    <w:autoRedefine/>
    <w:semiHidden/>
    <w:unhideWhenUsed/>
    <w:qFormat/>
    <w:uiPriority w:val="99"/>
    <w:rPr>
      <w:b/>
      <w:bCs/>
    </w:rPr>
  </w:style>
  <w:style w:type="table" w:styleId="19">
    <w:name w:val="Table Grid"/>
    <w:basedOn w:val="18"/>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22"/>
    <w:rPr>
      <w:b/>
      <w:bCs/>
    </w:rPr>
  </w:style>
  <w:style w:type="character" w:styleId="22">
    <w:name w:val="endnote reference"/>
    <w:basedOn w:val="20"/>
    <w:autoRedefine/>
    <w:semiHidden/>
    <w:unhideWhenUsed/>
    <w:qFormat/>
    <w:uiPriority w:val="99"/>
    <w:rPr>
      <w:vertAlign w:val="superscript"/>
    </w:rPr>
  </w:style>
  <w:style w:type="character" w:styleId="23">
    <w:name w:val="Emphasis"/>
    <w:basedOn w:val="20"/>
    <w:autoRedefine/>
    <w:qFormat/>
    <w:uiPriority w:val="20"/>
    <w:rPr>
      <w:i/>
      <w:iCs/>
    </w:rPr>
  </w:style>
  <w:style w:type="character" w:styleId="24">
    <w:name w:val="Hyperlink"/>
    <w:basedOn w:val="20"/>
    <w:autoRedefine/>
    <w:unhideWhenUsed/>
    <w:qFormat/>
    <w:uiPriority w:val="99"/>
    <w:rPr>
      <w:color w:val="0563C1" w:themeColor="hyperlink"/>
      <w:u w:val="single"/>
      <w14:textFill>
        <w14:solidFill>
          <w14:schemeClr w14:val="hlink"/>
        </w14:solidFill>
      </w14:textFill>
    </w:rPr>
  </w:style>
  <w:style w:type="character" w:styleId="25">
    <w:name w:val="annotation reference"/>
    <w:basedOn w:val="20"/>
    <w:autoRedefine/>
    <w:unhideWhenUsed/>
    <w:qFormat/>
    <w:uiPriority w:val="0"/>
    <w:rPr>
      <w:sz w:val="21"/>
      <w:szCs w:val="21"/>
    </w:rPr>
  </w:style>
  <w:style w:type="character" w:styleId="26">
    <w:name w:val="footnote reference"/>
    <w:basedOn w:val="20"/>
    <w:autoRedefine/>
    <w:semiHidden/>
    <w:unhideWhenUsed/>
    <w:qFormat/>
    <w:uiPriority w:val="99"/>
    <w:rPr>
      <w:vertAlign w:val="superscript"/>
    </w:rPr>
  </w:style>
  <w:style w:type="character" w:customStyle="1" w:styleId="27">
    <w:name w:val="页眉 字符"/>
    <w:basedOn w:val="20"/>
    <w:link w:val="12"/>
    <w:autoRedefine/>
    <w:qFormat/>
    <w:uiPriority w:val="99"/>
    <w:rPr>
      <w:sz w:val="18"/>
      <w:szCs w:val="18"/>
    </w:rPr>
  </w:style>
  <w:style w:type="character" w:customStyle="1" w:styleId="28">
    <w:name w:val="页脚 字符"/>
    <w:basedOn w:val="20"/>
    <w:link w:val="11"/>
    <w:autoRedefine/>
    <w:qFormat/>
    <w:uiPriority w:val="99"/>
    <w:rPr>
      <w:rFonts w:ascii="Times New Roman" w:hAnsi="Times New Roman" w:eastAsia="仿宋_GB2312"/>
      <w:kern w:val="2"/>
      <w:sz w:val="18"/>
      <w:szCs w:val="18"/>
    </w:rPr>
  </w:style>
  <w:style w:type="character" w:customStyle="1" w:styleId="29">
    <w:name w:val="标题 1 字符"/>
    <w:basedOn w:val="20"/>
    <w:link w:val="2"/>
    <w:autoRedefine/>
    <w:qFormat/>
    <w:uiPriority w:val="9"/>
    <w:rPr>
      <w:rFonts w:ascii="Times New Roman" w:hAnsi="Times New Roman" w:eastAsia="黑体"/>
      <w:bCs/>
      <w:kern w:val="44"/>
      <w:sz w:val="32"/>
      <w:szCs w:val="44"/>
    </w:rPr>
  </w:style>
  <w:style w:type="character" w:customStyle="1" w:styleId="30">
    <w:name w:val="标题 2 字符"/>
    <w:basedOn w:val="20"/>
    <w:link w:val="3"/>
    <w:autoRedefine/>
    <w:qFormat/>
    <w:uiPriority w:val="0"/>
    <w:rPr>
      <w:rFonts w:ascii="Times New Roman" w:hAnsi="Times New Roman" w:eastAsia="楷体_GB2312" w:cstheme="majorBidi"/>
      <w:bCs/>
      <w:sz w:val="32"/>
      <w:szCs w:val="32"/>
    </w:rPr>
  </w:style>
  <w:style w:type="character" w:customStyle="1" w:styleId="31">
    <w:name w:val="标题 3 字符"/>
    <w:basedOn w:val="20"/>
    <w:link w:val="4"/>
    <w:autoRedefine/>
    <w:qFormat/>
    <w:uiPriority w:val="9"/>
    <w:rPr>
      <w:rFonts w:ascii="Times New Roman" w:hAnsi="Times New Roman" w:eastAsia="仿宋_GB2312"/>
      <w:b/>
      <w:bCs/>
      <w:kern w:val="2"/>
      <w:sz w:val="32"/>
      <w:szCs w:val="32"/>
      <w:lang w:val="en"/>
    </w:rPr>
  </w:style>
  <w:style w:type="character" w:customStyle="1" w:styleId="32">
    <w:name w:val="标题 4 字符"/>
    <w:basedOn w:val="20"/>
    <w:link w:val="5"/>
    <w:autoRedefine/>
    <w:qFormat/>
    <w:uiPriority w:val="9"/>
    <w:rPr>
      <w:rFonts w:ascii="Times New Roman" w:hAnsi="Times New Roman" w:eastAsia="仿宋_GB2312" w:cstheme="majorBidi"/>
      <w:bCs/>
      <w:kern w:val="2"/>
      <w:sz w:val="32"/>
      <w:szCs w:val="28"/>
    </w:rPr>
  </w:style>
  <w:style w:type="paragraph" w:customStyle="1" w:styleId="33">
    <w:name w:val="表头/图例"/>
    <w:basedOn w:val="1"/>
    <w:link w:val="34"/>
    <w:autoRedefine/>
    <w:qFormat/>
    <w:uiPriority w:val="0"/>
    <w:pPr>
      <w:ind w:firstLine="0" w:firstLineChars="0"/>
      <w:jc w:val="center"/>
    </w:pPr>
    <w:rPr>
      <w:rFonts w:eastAsia="黑体" w:cs="Times New Roman"/>
      <w:sz w:val="28"/>
      <w:szCs w:val="21"/>
    </w:rPr>
  </w:style>
  <w:style w:type="character" w:customStyle="1" w:styleId="34">
    <w:name w:val="表头/图例 字符"/>
    <w:basedOn w:val="20"/>
    <w:link w:val="33"/>
    <w:autoRedefine/>
    <w:qFormat/>
    <w:uiPriority w:val="0"/>
    <w:rPr>
      <w:rFonts w:ascii="Times New Roman" w:hAnsi="Times New Roman" w:eastAsia="黑体" w:cs="Times New Roman"/>
      <w:kern w:val="2"/>
      <w:sz w:val="28"/>
      <w:szCs w:val="21"/>
    </w:rPr>
  </w:style>
  <w:style w:type="paragraph" w:customStyle="1" w:styleId="35">
    <w:name w:val="表格文字"/>
    <w:basedOn w:val="1"/>
    <w:link w:val="36"/>
    <w:autoRedefine/>
    <w:qFormat/>
    <w:uiPriority w:val="0"/>
    <w:pPr>
      <w:ind w:firstLine="0" w:firstLineChars="0"/>
    </w:pPr>
    <w:rPr>
      <w:rFonts w:eastAsia="宋体" w:cs="宋体"/>
      <w:kern w:val="0"/>
      <w:sz w:val="24"/>
      <w:szCs w:val="24"/>
    </w:rPr>
  </w:style>
  <w:style w:type="character" w:customStyle="1" w:styleId="36">
    <w:name w:val="表格文字 字符"/>
    <w:basedOn w:val="20"/>
    <w:link w:val="35"/>
    <w:autoRedefine/>
    <w:qFormat/>
    <w:uiPriority w:val="0"/>
    <w:rPr>
      <w:rFonts w:ascii="Times New Roman" w:hAnsi="Times New Roman" w:eastAsia="宋体" w:cs="宋体"/>
      <w:sz w:val="24"/>
      <w:szCs w:val="24"/>
    </w:rPr>
  </w:style>
  <w:style w:type="paragraph" w:customStyle="1" w:styleId="37">
    <w:name w:val="TOC 标题1"/>
    <w:basedOn w:val="2"/>
    <w:next w:val="1"/>
    <w:autoRedefine/>
    <w:unhideWhenUsed/>
    <w:qFormat/>
    <w:uiPriority w:val="39"/>
    <w:pPr>
      <w:overflowPunct/>
      <w:spacing w:before="240" w:line="259" w:lineRule="auto"/>
      <w:ind w:firstLine="0" w:firstLineChars="0"/>
      <w:jc w:val="left"/>
      <w:outlineLvl w:val="9"/>
    </w:pPr>
    <w:rPr>
      <w:rFonts w:asciiTheme="majorHAnsi" w:hAnsiTheme="majorHAnsi" w:eastAsiaTheme="majorEastAsia" w:cstheme="majorBidi"/>
      <w:bCs w:val="0"/>
      <w:color w:val="2F5597" w:themeColor="accent1" w:themeShade="BF"/>
      <w:kern w:val="0"/>
      <w:szCs w:val="32"/>
    </w:rPr>
  </w:style>
  <w:style w:type="character" w:customStyle="1" w:styleId="38">
    <w:name w:val="批注文字 字符"/>
    <w:basedOn w:val="20"/>
    <w:link w:val="6"/>
    <w:autoRedefine/>
    <w:qFormat/>
    <w:uiPriority w:val="0"/>
    <w:rPr>
      <w:rFonts w:ascii="宋体" w:hAnsi="宋体" w:eastAsia="宋体" w:cs="宋体"/>
      <w:kern w:val="0"/>
      <w:sz w:val="24"/>
      <w:szCs w:val="24"/>
    </w:rPr>
  </w:style>
  <w:style w:type="character" w:customStyle="1" w:styleId="39">
    <w:name w:val="正文文本 字符"/>
    <w:basedOn w:val="20"/>
    <w:link w:val="7"/>
    <w:autoRedefine/>
    <w:qFormat/>
    <w:uiPriority w:val="0"/>
    <w:rPr>
      <w:rFonts w:ascii="宋体" w:hAnsi="宋体" w:eastAsia="仿宋_GB2312" w:cs="宋体"/>
      <w:kern w:val="0"/>
      <w:sz w:val="30"/>
      <w:szCs w:val="24"/>
    </w:rPr>
  </w:style>
  <w:style w:type="character" w:customStyle="1" w:styleId="40">
    <w:name w:val="脚注文本 字符"/>
    <w:basedOn w:val="20"/>
    <w:link w:val="14"/>
    <w:autoRedefine/>
    <w:qFormat/>
    <w:uiPriority w:val="99"/>
    <w:rPr>
      <w:rFonts w:ascii="宋体" w:hAnsi="宋体" w:eastAsia="宋体" w:cs="宋体"/>
      <w:kern w:val="0"/>
      <w:sz w:val="18"/>
      <w:szCs w:val="18"/>
    </w:rPr>
  </w:style>
  <w:style w:type="character" w:customStyle="1" w:styleId="41">
    <w:name w:val="批注主题 字符"/>
    <w:basedOn w:val="38"/>
    <w:link w:val="17"/>
    <w:autoRedefine/>
    <w:semiHidden/>
    <w:qFormat/>
    <w:uiPriority w:val="99"/>
    <w:rPr>
      <w:rFonts w:ascii="宋体" w:hAnsi="宋体" w:eastAsia="宋体" w:cs="宋体"/>
      <w:b/>
      <w:bCs/>
      <w:kern w:val="0"/>
      <w:sz w:val="24"/>
      <w:szCs w:val="24"/>
    </w:rPr>
  </w:style>
  <w:style w:type="paragraph" w:customStyle="1" w:styleId="42">
    <w:name w:val="TOC 标题12"/>
    <w:basedOn w:val="2"/>
    <w:next w:val="1"/>
    <w:autoRedefine/>
    <w:unhideWhenUsed/>
    <w:qFormat/>
    <w:uiPriority w:val="39"/>
    <w:pPr>
      <w:overflowPunct/>
      <w:spacing w:before="240" w:line="259" w:lineRule="auto"/>
      <w:ind w:firstLine="0" w:firstLineChars="0"/>
      <w:jc w:val="left"/>
      <w:outlineLvl w:val="9"/>
    </w:pPr>
    <w:rPr>
      <w:rFonts w:asciiTheme="majorHAnsi" w:hAnsiTheme="majorHAnsi" w:eastAsiaTheme="majorEastAsia" w:cstheme="majorBidi"/>
      <w:bCs w:val="0"/>
      <w:color w:val="2F5597" w:themeColor="accent1" w:themeShade="BF"/>
      <w:kern w:val="0"/>
      <w:sz w:val="24"/>
      <w:szCs w:val="32"/>
    </w:rPr>
  </w:style>
  <w:style w:type="character" w:customStyle="1" w:styleId="43">
    <w:name w:val="未处理的提及1"/>
    <w:basedOn w:val="20"/>
    <w:autoRedefine/>
    <w:semiHidden/>
    <w:unhideWhenUsed/>
    <w:qFormat/>
    <w:uiPriority w:val="99"/>
    <w:rPr>
      <w:color w:val="605E5C"/>
      <w:shd w:val="clear" w:color="auto" w:fill="E1DFDD"/>
    </w:rPr>
  </w:style>
  <w:style w:type="paragraph" w:customStyle="1" w:styleId="44">
    <w:name w:val="TOC 标题11"/>
    <w:basedOn w:val="2"/>
    <w:next w:val="1"/>
    <w:autoRedefine/>
    <w:unhideWhenUsed/>
    <w:qFormat/>
    <w:uiPriority w:val="39"/>
    <w:pPr>
      <w:overflowPunct/>
      <w:spacing w:before="240" w:line="259" w:lineRule="auto"/>
      <w:ind w:firstLine="0" w:firstLineChars="0"/>
      <w:jc w:val="left"/>
      <w:outlineLvl w:val="9"/>
    </w:pPr>
    <w:rPr>
      <w:rFonts w:asciiTheme="majorHAnsi" w:hAnsiTheme="majorHAnsi" w:eastAsiaTheme="majorEastAsia" w:cstheme="majorBidi"/>
      <w:bCs w:val="0"/>
      <w:color w:val="2F5597" w:themeColor="accent1" w:themeShade="BF"/>
      <w:kern w:val="0"/>
      <w:sz w:val="24"/>
      <w:szCs w:val="32"/>
    </w:rPr>
  </w:style>
  <w:style w:type="paragraph" w:styleId="45">
    <w:name w:val="List Paragraph"/>
    <w:basedOn w:val="1"/>
    <w:autoRedefine/>
    <w:qFormat/>
    <w:uiPriority w:val="34"/>
    <w:pPr>
      <w:overflowPunct/>
      <w:ind w:firstLine="420" w:firstLineChars="0"/>
      <w:jc w:val="left"/>
    </w:pPr>
    <w:rPr>
      <w:rFonts w:ascii="宋体" w:hAnsi="宋体" w:eastAsia="宋体" w:cs="宋体"/>
      <w:kern w:val="0"/>
      <w:sz w:val="24"/>
      <w:szCs w:val="24"/>
    </w:rPr>
  </w:style>
  <w:style w:type="paragraph" w:customStyle="1" w:styleId="46">
    <w:name w:val="修订1"/>
    <w:autoRedefine/>
    <w:hidden/>
    <w:semiHidden/>
    <w:qFormat/>
    <w:uiPriority w:val="99"/>
    <w:rPr>
      <w:rFonts w:ascii="Times New Roman" w:hAnsi="Times New Roman" w:eastAsia="仿宋_GB2312" w:cstheme="minorBidi"/>
      <w:kern w:val="2"/>
      <w:sz w:val="32"/>
      <w:szCs w:val="22"/>
      <w:lang w:val="en-US" w:eastAsia="zh-CN" w:bidi="ar-SA"/>
    </w:rPr>
  </w:style>
  <w:style w:type="table" w:customStyle="1" w:styleId="47">
    <w:name w:val="网格型1"/>
    <w:basedOn w:val="18"/>
    <w:autoRedefine/>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8">
    <w:name w:val="网格型2"/>
    <w:basedOn w:val="18"/>
    <w:autoRedefine/>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9">
    <w:name w:val="网格型3"/>
    <w:basedOn w:val="18"/>
    <w:autoRedefine/>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0">
    <w:name w:val="网格型4"/>
    <w:basedOn w:val="18"/>
    <w:autoRedefine/>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
    <w:name w:val="网格型5"/>
    <w:basedOn w:val="18"/>
    <w:autoRedefine/>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2">
    <w:name w:val="网格型6"/>
    <w:basedOn w:val="18"/>
    <w:autoRedefine/>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3">
    <w:name w:val="网格型7"/>
    <w:basedOn w:val="18"/>
    <w:autoRedefine/>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4">
    <w:name w:val="修订2"/>
    <w:autoRedefine/>
    <w:hidden/>
    <w:semiHidden/>
    <w:qFormat/>
    <w:uiPriority w:val="99"/>
    <w:rPr>
      <w:rFonts w:ascii="Times New Roman" w:hAnsi="Times New Roman" w:eastAsia="仿宋_GB2312" w:cstheme="minorBidi"/>
      <w:kern w:val="2"/>
      <w:sz w:val="32"/>
      <w:szCs w:val="22"/>
      <w:lang w:val="en-US" w:eastAsia="zh-CN" w:bidi="ar-SA"/>
    </w:rPr>
  </w:style>
  <w:style w:type="paragraph" w:customStyle="1" w:styleId="55">
    <w:name w:val="Default"/>
    <w:autoRedefine/>
    <w:qFormat/>
    <w:uiPriority w:val="0"/>
    <w:pPr>
      <w:widowControl w:val="0"/>
      <w:autoSpaceDE w:val="0"/>
      <w:autoSpaceDN w:val="0"/>
      <w:adjustRightInd w:val="0"/>
    </w:pPr>
    <w:rPr>
      <w:rFonts w:ascii="仿宋_GB2312" w:hAnsi="仿宋_GB2312" w:eastAsia="宋体" w:cs="仿宋_GB2312"/>
      <w:color w:val="000000"/>
      <w:sz w:val="24"/>
      <w:szCs w:val="24"/>
      <w:lang w:val="en-US" w:eastAsia="zh-CN" w:bidi="ar-SA"/>
    </w:rPr>
  </w:style>
  <w:style w:type="character" w:customStyle="1" w:styleId="56">
    <w:name w:val="批注文字 Char"/>
    <w:autoRedefine/>
    <w:qFormat/>
    <w:uiPriority w:val="0"/>
    <w:rPr>
      <w:kern w:val="2"/>
      <w:sz w:val="21"/>
      <w:szCs w:val="24"/>
    </w:rPr>
  </w:style>
  <w:style w:type="character" w:customStyle="1" w:styleId="57">
    <w:name w:val="text_xghhz"/>
    <w:basedOn w:val="20"/>
    <w:autoRedefine/>
    <w:qFormat/>
    <w:uiPriority w:val="0"/>
  </w:style>
  <w:style w:type="character" w:customStyle="1" w:styleId="58">
    <w:name w:val="supwrap_lcfow"/>
    <w:basedOn w:val="20"/>
    <w:autoRedefine/>
    <w:qFormat/>
    <w:uiPriority w:val="0"/>
  </w:style>
  <w:style w:type="paragraph" w:customStyle="1" w:styleId="59">
    <w:name w:val="maintext"/>
    <w:basedOn w:val="1"/>
    <w:link w:val="60"/>
    <w:autoRedefine/>
    <w:qFormat/>
    <w:uiPriority w:val="0"/>
    <w:pPr>
      <w:widowControl w:val="0"/>
      <w:overflowPunct/>
      <w:spacing w:line="560" w:lineRule="exact"/>
    </w:pPr>
    <w:rPr>
      <w:rFonts w:cs="Times New Roman"/>
      <w:kern w:val="0"/>
      <w:sz w:val="28"/>
      <w:szCs w:val="20"/>
    </w:rPr>
  </w:style>
  <w:style w:type="character" w:customStyle="1" w:styleId="60">
    <w:name w:val="maintext 字符"/>
    <w:link w:val="59"/>
    <w:autoRedefine/>
    <w:qFormat/>
    <w:uiPriority w:val="0"/>
    <w:rPr>
      <w:rFonts w:ascii="Times New Roman" w:hAnsi="Times New Roman" w:eastAsia="仿宋_GB2312" w:cs="Times New Roman"/>
      <w:kern w:val="0"/>
      <w:sz w:val="28"/>
      <w:szCs w:val="20"/>
    </w:rPr>
  </w:style>
  <w:style w:type="paragraph" w:customStyle="1" w:styleId="61">
    <w:name w:val="专栏文字"/>
    <w:basedOn w:val="1"/>
    <w:link w:val="62"/>
    <w:autoRedefine/>
    <w:qFormat/>
    <w:uiPriority w:val="0"/>
    <w:pPr>
      <w:widowControl w:val="0"/>
      <w:spacing w:line="520" w:lineRule="exact"/>
      <w:ind w:firstLine="560"/>
    </w:pPr>
    <w:rPr>
      <w:rFonts w:eastAsia="宋体" w:cs="Times New Roman"/>
      <w:sz w:val="28"/>
    </w:rPr>
  </w:style>
  <w:style w:type="character" w:customStyle="1" w:styleId="62">
    <w:name w:val="专栏文字 字符"/>
    <w:basedOn w:val="20"/>
    <w:link w:val="61"/>
    <w:autoRedefine/>
    <w:qFormat/>
    <w:uiPriority w:val="0"/>
    <w:rPr>
      <w:rFonts w:ascii="Times New Roman" w:hAnsi="Times New Roman" w:eastAsia="宋体" w:cs="Times New Roman"/>
      <w:kern w:val="2"/>
      <w:sz w:val="28"/>
      <w:szCs w:val="22"/>
    </w:rPr>
  </w:style>
  <w:style w:type="paragraph" w:customStyle="1" w:styleId="63">
    <w:name w:val="文章正文"/>
    <w:autoRedefine/>
    <w:qFormat/>
    <w:uiPriority w:val="0"/>
    <w:pPr>
      <w:widowControl w:val="0"/>
      <w:spacing w:line="400" w:lineRule="exact"/>
      <w:ind w:firstLine="200"/>
      <w:jc w:val="both"/>
    </w:pPr>
    <w:rPr>
      <w:rFonts w:hint="eastAsia" w:ascii="Arial Unicode MS" w:hAnsi="Arial Unicode MS" w:eastAsia="Times New Roman" w:cs="Arial Unicode MS"/>
      <w:color w:val="000000"/>
      <w:kern w:val="2"/>
      <w:sz w:val="24"/>
      <w:szCs w:val="24"/>
      <w:lang w:val="en-US" w:eastAsia="zh-CN" w:bidi="ar-SA"/>
    </w:rPr>
  </w:style>
  <w:style w:type="character" w:customStyle="1" w:styleId="64">
    <w:name w:val="标题 字符"/>
    <w:basedOn w:val="20"/>
    <w:link w:val="16"/>
    <w:autoRedefine/>
    <w:qFormat/>
    <w:uiPriority w:val="10"/>
    <w:rPr>
      <w:rFonts w:asciiTheme="majorHAnsi" w:hAnsiTheme="majorHAnsi" w:eastAsiaTheme="majorEastAsia" w:cstheme="majorBidi"/>
      <w:b/>
      <w:bCs/>
      <w:kern w:val="2"/>
      <w:sz w:val="32"/>
      <w:szCs w:val="32"/>
    </w:rPr>
  </w:style>
  <w:style w:type="character" w:customStyle="1" w:styleId="65">
    <w:name w:val="尾注文本 字符"/>
    <w:basedOn w:val="20"/>
    <w:link w:val="10"/>
    <w:autoRedefine/>
    <w:semiHidden/>
    <w:qFormat/>
    <w:uiPriority w:val="99"/>
    <w:rPr>
      <w:rFonts w:ascii="Times New Roman" w:hAnsi="Times New Roman" w:eastAsia="仿宋_GB2312"/>
      <w:kern w:val="2"/>
      <w:sz w:val="32"/>
      <w:szCs w:val="22"/>
    </w:rPr>
  </w:style>
  <w:style w:type="character" w:customStyle="1" w:styleId="66">
    <w:name w:val="font101"/>
    <w:basedOn w:val="20"/>
    <w:qFormat/>
    <w:uiPriority w:val="0"/>
    <w:rPr>
      <w:rFonts w:hint="default" w:ascii="Times New Roman" w:hAnsi="Times New Roman" w:cs="Times New Roman"/>
      <w:color w:val="000000"/>
      <w:sz w:val="24"/>
      <w:szCs w:val="24"/>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100</Pages>
  <Words>12827</Words>
  <Characters>13578</Characters>
  <Lines>327</Lines>
  <Paragraphs>92</Paragraphs>
  <TotalTime>65</TotalTime>
  <ScaleCrop>false</ScaleCrop>
  <LinksUpToDate>false</LinksUpToDate>
  <CharactersWithSpaces>13646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2024-06-11T10:14:00Z</dcterms:created>
  <dc:creator>李 卓</dc:creator>
  <cp:lastModifiedBy>郑浩</cp:lastModifiedBy>
  <cp:lastPrinted>2024-03-11T07:43:00Z</cp:lastPrinted>
  <dcterms:modified xsi:type="dcterms:W3CDTF">2025-09-16T09:45:26Z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88F80F8ABA14429DB4DC0EB2F2006AED_13</vt:lpwstr>
  </property>
  <property fmtid="{D5CDD505-2E9C-101B-9397-08002B2CF9AE}" pid="4" name="KSOTemplateDocerSaveRecord">
    <vt:lpwstr>eyJoZGlkIjoiMTBlNzRlOTUzZjE0NDczODAzNGEyYjYyY2RkOWQyMWQiLCJ1c2VySWQiOiIxNDUxNzY1MTQxIn0=</vt:lpwstr>
  </property>
</Properties>
</file>